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color w:val="0070C0"/>
          <w:sz w:val="20"/>
          <w:szCs w:val="20"/>
        </w:rPr>
        <w:id w:val="1609467124"/>
        <w:showingPlcHdr/>
        <w:picture/>
      </w:sdtPr>
      <w:sdtEndPr/>
      <w:sdtContent>
        <w:p w14:paraId="0CC3231F" w14:textId="47E849E2" w:rsidR="004B1C5E" w:rsidRDefault="007A1E85" w:rsidP="00996FBD">
          <w:pPr>
            <w:spacing w:after="0"/>
            <w:ind w:left="-720"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67456"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6EDD6CB0" w14:textId="14478B61"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00284864" w:rsidR="004B1C5E" w:rsidRDefault="004B1C5E" w:rsidP="00996FBD">
      <w:pPr>
        <w:spacing w:after="0"/>
        <w:ind w:left="-720" w:right="-720"/>
        <w:rPr>
          <w:rFonts w:ascii="Arial" w:hAnsi="Arial" w:cs="Arial"/>
          <w:b/>
          <w:color w:val="0070C0"/>
          <w:sz w:val="20"/>
          <w:szCs w:val="20"/>
        </w:rPr>
      </w:pPr>
    </w:p>
    <w:p w14:paraId="26EE1523" w14:textId="77777777" w:rsidR="004A3AEE" w:rsidRPr="00FB2425" w:rsidRDefault="004A3AEE" w:rsidP="004A3AEE">
      <w:pPr>
        <w:spacing w:after="0"/>
        <w:ind w:left="1440" w:right="-360"/>
        <w:rPr>
          <w:rFonts w:ascii="Arial" w:hAnsi="Arial" w:cs="Arial"/>
          <w:b/>
          <w:color w:val="037EBB"/>
          <w:szCs w:val="20"/>
        </w:rPr>
      </w:pPr>
      <w:r>
        <w:rPr>
          <w:noProof/>
        </w:rPr>
        <w:drawing>
          <wp:anchor distT="0" distB="0" distL="114300" distR="114300" simplePos="0" relativeHeight="251683840" behindDoc="0" locked="0" layoutInCell="1" allowOverlap="1" wp14:anchorId="4158C2F5" wp14:editId="053C041A">
            <wp:simplePos x="0" y="0"/>
            <wp:positionH relativeFrom="column">
              <wp:posOffset>933450</wp:posOffset>
            </wp:positionH>
            <wp:positionV relativeFrom="page">
              <wp:posOffset>2171700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7D272C">
        <w:rPr>
          <w:rFonts w:ascii="Arial" w:hAnsi="Arial" w:cs="Arial"/>
          <w:b/>
          <w:noProof/>
          <w:color w:val="3B3838" w:themeColor="background2" w:themeShade="40"/>
          <w:sz w:val="21"/>
          <w:szCs w:val="20"/>
        </w:rPr>
        <w:drawing>
          <wp:anchor distT="0" distB="0" distL="114300" distR="114300" simplePos="0" relativeHeight="251682816" behindDoc="0" locked="0" layoutInCell="1" allowOverlap="1" wp14:anchorId="6A761DC7" wp14:editId="50614E4F">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Pr="007D272C">
        <w:rPr>
          <w:rFonts w:ascii="Arial" w:hAnsi="Arial" w:cs="Arial"/>
          <w:b/>
          <w:color w:val="037EBB"/>
          <w:sz w:val="24"/>
          <w:szCs w:val="20"/>
        </w:rPr>
        <w:t>Market Review</w:t>
      </w:r>
    </w:p>
    <w:p w14:paraId="16ADB117" w14:textId="77777777" w:rsidR="004A3AEE" w:rsidRPr="002815AB" w:rsidRDefault="004A3AEE" w:rsidP="004A3AEE">
      <w:pPr>
        <w:spacing w:after="0"/>
        <w:ind w:left="1440" w:right="-360"/>
        <w:rPr>
          <w:rFonts w:ascii="Arial" w:hAnsi="Arial" w:cs="Arial"/>
          <w:b/>
          <w:color w:val="3B3838" w:themeColor="background2" w:themeShade="40"/>
          <w:sz w:val="20"/>
          <w:szCs w:val="20"/>
        </w:rPr>
      </w:pPr>
      <w:r w:rsidRPr="003127F9">
        <w:rPr>
          <w:rFonts w:ascii="Arial" w:hAnsi="Arial" w:cs="Arial"/>
          <w:color w:val="767171" w:themeColor="background2" w:themeShade="80"/>
          <w:sz w:val="18"/>
          <w:szCs w:val="18"/>
        </w:rPr>
        <w:t>Source:  Zephyr Style Advisor</w:t>
      </w:r>
    </w:p>
    <w:p w14:paraId="206F7CE0" w14:textId="77777777" w:rsidR="004A3AEE" w:rsidRPr="00525FA1" w:rsidRDefault="004A3AEE" w:rsidP="004A3AEE">
      <w:pPr>
        <w:spacing w:after="0"/>
        <w:ind w:left="1440" w:right="-360"/>
        <w:rPr>
          <w:rFonts w:ascii="Arial" w:hAnsi="Arial" w:cs="Arial"/>
          <w:b/>
          <w:color w:val="3B3838" w:themeColor="background2" w:themeShade="40"/>
          <w:sz w:val="20"/>
          <w:szCs w:val="20"/>
        </w:rPr>
      </w:pPr>
    </w:p>
    <w:p w14:paraId="701655B8" w14:textId="55E4018D" w:rsidR="004A3AEE" w:rsidRPr="00E55DE2" w:rsidRDefault="004A3AEE" w:rsidP="004A3AEE">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Despite escalating</w:t>
      </w:r>
      <w:r w:rsidRPr="00E55DE2">
        <w:rPr>
          <w:rFonts w:ascii="Arial" w:hAnsi="Arial" w:cs="Arial"/>
          <w:color w:val="3B3838" w:themeColor="background2" w:themeShade="40"/>
          <w:sz w:val="20"/>
          <w:szCs w:val="20"/>
        </w:rPr>
        <w:t xml:space="preserve"> tensions in Europe </w:t>
      </w:r>
      <w:r>
        <w:rPr>
          <w:rFonts w:ascii="Arial" w:hAnsi="Arial" w:cs="Arial"/>
          <w:color w:val="3B3838" w:themeColor="background2" w:themeShade="40"/>
          <w:sz w:val="20"/>
          <w:szCs w:val="20"/>
        </w:rPr>
        <w:t>due to</w:t>
      </w:r>
      <w:r w:rsidR="00DE21D1">
        <w:rPr>
          <w:rFonts w:ascii="Arial" w:hAnsi="Arial" w:cs="Arial"/>
          <w:color w:val="3B3838" w:themeColor="background2" w:themeShade="40"/>
          <w:sz w:val="20"/>
          <w:szCs w:val="20"/>
        </w:rPr>
        <w:t xml:space="preserve"> the</w:t>
      </w:r>
      <w:r>
        <w:rPr>
          <w:rFonts w:ascii="Arial" w:hAnsi="Arial" w:cs="Arial"/>
          <w:color w:val="3B3838" w:themeColor="background2" w:themeShade="40"/>
          <w:sz w:val="20"/>
          <w:szCs w:val="20"/>
        </w:rPr>
        <w:t xml:space="preserve"> Russian invasion of Ukraine, international developed equities outperformed US and emerging markets. </w:t>
      </w:r>
      <w:r w:rsidRPr="00E55DE2">
        <w:rPr>
          <w:rFonts w:ascii="Arial" w:hAnsi="Arial" w:cs="Arial"/>
          <w:color w:val="3B3838" w:themeColor="background2" w:themeShade="40"/>
          <w:sz w:val="20"/>
          <w:szCs w:val="20"/>
        </w:rPr>
        <w:t xml:space="preserve">International </w:t>
      </w:r>
      <w:r>
        <w:rPr>
          <w:rFonts w:ascii="Arial" w:hAnsi="Arial" w:cs="Arial"/>
          <w:color w:val="3B3838" w:themeColor="background2" w:themeShade="40"/>
          <w:sz w:val="20"/>
          <w:szCs w:val="20"/>
        </w:rPr>
        <w:t xml:space="preserve">developed </w:t>
      </w:r>
      <w:r w:rsidRPr="00E55DE2">
        <w:rPr>
          <w:rFonts w:ascii="Arial" w:hAnsi="Arial" w:cs="Arial"/>
          <w:color w:val="3B3838" w:themeColor="background2" w:themeShade="40"/>
          <w:sz w:val="20"/>
          <w:szCs w:val="20"/>
        </w:rPr>
        <w:t>equities were down 1.8%, while the US and emerging markets both fell by 3% during the month.</w:t>
      </w:r>
      <w:r>
        <w:rPr>
          <w:rFonts w:ascii="Arial" w:hAnsi="Arial" w:cs="Arial"/>
          <w:color w:val="3B3838" w:themeColor="background2" w:themeShade="40"/>
          <w:sz w:val="20"/>
          <w:szCs w:val="20"/>
        </w:rPr>
        <w:t xml:space="preserve"> </w:t>
      </w:r>
      <w:r w:rsidRPr="00E55DE2">
        <w:rPr>
          <w:rFonts w:ascii="Arial" w:hAnsi="Arial" w:cs="Arial"/>
          <w:color w:val="3B3838" w:themeColor="background2" w:themeShade="40"/>
          <w:sz w:val="20"/>
          <w:szCs w:val="20"/>
        </w:rPr>
        <w:t>US dividend stocks (-0.2%) led US equities for the month and are now up 1.1% for the year</w:t>
      </w:r>
      <w:r>
        <w:rPr>
          <w:rFonts w:ascii="Arial" w:hAnsi="Arial" w:cs="Arial"/>
          <w:color w:val="3B3838" w:themeColor="background2" w:themeShade="40"/>
          <w:sz w:val="20"/>
          <w:szCs w:val="20"/>
        </w:rPr>
        <w:t xml:space="preserve"> as investors searched for higher</w:t>
      </w:r>
      <w:r w:rsidR="00DE21D1">
        <w:rPr>
          <w:rFonts w:ascii="Arial" w:hAnsi="Arial" w:cs="Arial"/>
          <w:color w:val="3B3838" w:themeColor="background2" w:themeShade="40"/>
          <w:sz w:val="20"/>
          <w:szCs w:val="20"/>
        </w:rPr>
        <w:t>-</w:t>
      </w:r>
      <w:r>
        <w:rPr>
          <w:rFonts w:ascii="Arial" w:hAnsi="Arial" w:cs="Arial"/>
          <w:color w:val="3B3838" w:themeColor="background2" w:themeShade="40"/>
          <w:sz w:val="20"/>
          <w:szCs w:val="20"/>
        </w:rPr>
        <w:t>quality companies generally associated with dividend payers amidst the volatility</w:t>
      </w:r>
      <w:r w:rsidRPr="00E55DE2">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Russia equities which </w:t>
      </w:r>
      <w:r w:rsidR="008F08CB">
        <w:rPr>
          <w:rFonts w:ascii="Arial" w:hAnsi="Arial" w:cs="Arial"/>
          <w:color w:val="3B3838" w:themeColor="background2" w:themeShade="40"/>
          <w:sz w:val="20"/>
          <w:szCs w:val="20"/>
        </w:rPr>
        <w:t>are</w:t>
      </w:r>
      <w:r>
        <w:rPr>
          <w:rFonts w:ascii="Arial" w:hAnsi="Arial" w:cs="Arial"/>
          <w:color w:val="3B3838" w:themeColor="background2" w:themeShade="40"/>
          <w:sz w:val="20"/>
          <w:szCs w:val="20"/>
        </w:rPr>
        <w:t xml:space="preserve"> a small percentage (3.2%) of the emerging market index</w:t>
      </w:r>
      <w:r>
        <w:rPr>
          <w:rStyle w:val="EndnoteReference"/>
          <w:rFonts w:ascii="Arial" w:hAnsi="Arial" w:cs="Arial"/>
          <w:color w:val="3B3838" w:themeColor="background2" w:themeShade="40"/>
          <w:sz w:val="20"/>
          <w:szCs w:val="20"/>
        </w:rPr>
        <w:endnoteReference w:id="1"/>
      </w:r>
      <w:r w:rsidR="007C38EF">
        <w:rPr>
          <w:rFonts w:ascii="Arial" w:hAnsi="Arial" w:cs="Arial"/>
          <w:color w:val="3B3838" w:themeColor="background2" w:themeShade="40"/>
          <w:sz w:val="20"/>
          <w:szCs w:val="20"/>
        </w:rPr>
        <w:t xml:space="preserve">, </w:t>
      </w:r>
      <w:r w:rsidRPr="00E55DE2">
        <w:rPr>
          <w:rFonts w:ascii="Arial" w:hAnsi="Arial" w:cs="Arial"/>
          <w:color w:val="3B3838" w:themeColor="background2" w:themeShade="40"/>
          <w:sz w:val="20"/>
          <w:szCs w:val="20"/>
        </w:rPr>
        <w:t xml:space="preserve">plummeted by 52.7% </w:t>
      </w:r>
      <w:r>
        <w:rPr>
          <w:rFonts w:ascii="Arial" w:hAnsi="Arial" w:cs="Arial"/>
          <w:color w:val="3B3838" w:themeColor="background2" w:themeShade="40"/>
          <w:sz w:val="20"/>
          <w:szCs w:val="20"/>
        </w:rPr>
        <w:t xml:space="preserve">in February </w:t>
      </w:r>
      <w:proofErr w:type="gramStart"/>
      <w:r w:rsidRPr="00E55DE2">
        <w:rPr>
          <w:rFonts w:ascii="Arial" w:hAnsi="Arial" w:cs="Arial"/>
          <w:color w:val="3B3838" w:themeColor="background2" w:themeShade="40"/>
          <w:sz w:val="20"/>
          <w:szCs w:val="20"/>
        </w:rPr>
        <w:t>as a result of</w:t>
      </w:r>
      <w:proofErr w:type="gramEnd"/>
      <w:r w:rsidRPr="00E55DE2">
        <w:rPr>
          <w:rFonts w:ascii="Arial" w:hAnsi="Arial" w:cs="Arial"/>
          <w:color w:val="3B3838" w:themeColor="background2" w:themeShade="40"/>
          <w:sz w:val="20"/>
          <w:szCs w:val="20"/>
        </w:rPr>
        <w:t xml:space="preserve"> economic sanctions enforced by multiple governments and firms worldwide.  </w:t>
      </w:r>
    </w:p>
    <w:p w14:paraId="23E36477" w14:textId="77777777" w:rsidR="004A3AEE" w:rsidRPr="00E55DE2" w:rsidRDefault="004A3AEE" w:rsidP="004A3AEE">
      <w:pPr>
        <w:spacing w:after="0"/>
        <w:ind w:left="1440" w:right="-360"/>
        <w:rPr>
          <w:rFonts w:ascii="Arial" w:hAnsi="Arial" w:cs="Arial"/>
          <w:color w:val="3B3838" w:themeColor="background2" w:themeShade="40"/>
          <w:sz w:val="20"/>
          <w:szCs w:val="20"/>
        </w:rPr>
      </w:pPr>
      <w:r w:rsidRPr="00E55DE2">
        <w:rPr>
          <w:rFonts w:ascii="Arial" w:hAnsi="Arial" w:cs="Arial"/>
          <w:color w:val="3B3838" w:themeColor="background2" w:themeShade="40"/>
          <w:sz w:val="20"/>
          <w:szCs w:val="20"/>
        </w:rPr>
        <w:t xml:space="preserve"> </w:t>
      </w:r>
    </w:p>
    <w:p w14:paraId="6591DD01" w14:textId="5821978C" w:rsidR="004A3AEE" w:rsidRPr="00E55DE2" w:rsidRDefault="004A3AEE" w:rsidP="004A3AEE">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Within the S&amp;P 500 sectors, </w:t>
      </w:r>
      <w:r w:rsidRPr="00E55DE2">
        <w:rPr>
          <w:rFonts w:ascii="Arial" w:hAnsi="Arial" w:cs="Arial"/>
          <w:color w:val="3B3838" w:themeColor="background2" w:themeShade="40"/>
          <w:sz w:val="20"/>
          <w:szCs w:val="20"/>
        </w:rPr>
        <w:t>energy had another strong month</w:t>
      </w:r>
      <w:r>
        <w:rPr>
          <w:rFonts w:ascii="Arial" w:hAnsi="Arial" w:cs="Arial"/>
          <w:color w:val="3B3838" w:themeColor="background2" w:themeShade="40"/>
          <w:sz w:val="20"/>
          <w:szCs w:val="20"/>
        </w:rPr>
        <w:t>, up 7.1%</w:t>
      </w:r>
      <w:r w:rsidR="004776A7">
        <w:rPr>
          <w:rFonts w:ascii="Arial" w:hAnsi="Arial" w:cs="Arial"/>
          <w:color w:val="3B3838" w:themeColor="background2" w:themeShade="40"/>
          <w:sz w:val="20"/>
          <w:szCs w:val="20"/>
        </w:rPr>
        <w:t>,</w:t>
      </w:r>
      <w:r w:rsidRPr="00E55DE2">
        <w:rPr>
          <w:rFonts w:ascii="Arial" w:hAnsi="Arial" w:cs="Arial"/>
          <w:color w:val="3B3838" w:themeColor="background2" w:themeShade="40"/>
          <w:sz w:val="20"/>
          <w:szCs w:val="20"/>
        </w:rPr>
        <w:t xml:space="preserve"> and is now up 27.6% for the year. Oil prices reached seven-year highs in February</w:t>
      </w:r>
      <w:r>
        <w:rPr>
          <w:rStyle w:val="EndnoteReference"/>
          <w:rFonts w:ascii="Arial" w:hAnsi="Arial" w:cs="Arial"/>
          <w:color w:val="3B3838" w:themeColor="background2" w:themeShade="40"/>
          <w:sz w:val="20"/>
          <w:szCs w:val="20"/>
        </w:rPr>
        <w:endnoteReference w:id="2"/>
      </w:r>
      <w:r w:rsidR="007C38EF">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over supply concerns as Russia is the third</w:t>
      </w:r>
      <w:r w:rsidR="007C38EF">
        <w:rPr>
          <w:rFonts w:ascii="Arial" w:hAnsi="Arial" w:cs="Arial"/>
          <w:color w:val="3B3838" w:themeColor="background2" w:themeShade="40"/>
          <w:sz w:val="20"/>
          <w:szCs w:val="20"/>
        </w:rPr>
        <w:t>-</w:t>
      </w:r>
      <w:r>
        <w:rPr>
          <w:rFonts w:ascii="Arial" w:hAnsi="Arial" w:cs="Arial"/>
          <w:color w:val="3B3838" w:themeColor="background2" w:themeShade="40"/>
          <w:sz w:val="20"/>
          <w:szCs w:val="20"/>
        </w:rPr>
        <w:t>largest oil producer</w:t>
      </w:r>
      <w:r>
        <w:rPr>
          <w:rStyle w:val="EndnoteReference"/>
          <w:rFonts w:ascii="Arial" w:hAnsi="Arial" w:cs="Arial"/>
          <w:color w:val="3B3838" w:themeColor="background2" w:themeShade="40"/>
          <w:sz w:val="20"/>
          <w:szCs w:val="20"/>
        </w:rPr>
        <w:endnoteReference w:id="3"/>
      </w:r>
      <w:r w:rsidRPr="00E55DE2">
        <w:rPr>
          <w:rFonts w:ascii="Arial" w:hAnsi="Arial" w:cs="Arial"/>
          <w:color w:val="3B3838" w:themeColor="background2" w:themeShade="40"/>
          <w:sz w:val="20"/>
          <w:szCs w:val="20"/>
        </w:rPr>
        <w:t>. Reviewing equity styles</w:t>
      </w:r>
      <w:r w:rsidRPr="003D50A1">
        <w:rPr>
          <w:rFonts w:ascii="Arial" w:hAnsi="Arial" w:cs="Arial"/>
          <w:color w:val="3B3838" w:themeColor="background2" w:themeShade="40"/>
          <w:sz w:val="20"/>
          <w:szCs w:val="20"/>
        </w:rPr>
        <w:t>, small cap</w:t>
      </w:r>
      <w:r>
        <w:rPr>
          <w:rFonts w:ascii="Arial" w:hAnsi="Arial" w:cs="Arial"/>
          <w:color w:val="3B3838" w:themeColor="background2" w:themeShade="40"/>
          <w:sz w:val="20"/>
          <w:szCs w:val="20"/>
        </w:rPr>
        <w:t xml:space="preserve"> stocks surprisingly </w:t>
      </w:r>
      <w:r w:rsidRPr="003D50A1">
        <w:rPr>
          <w:rFonts w:ascii="Arial" w:hAnsi="Arial" w:cs="Arial"/>
          <w:color w:val="3B3838" w:themeColor="background2" w:themeShade="40"/>
          <w:sz w:val="20"/>
          <w:szCs w:val="20"/>
        </w:rPr>
        <w:t>outperformed</w:t>
      </w:r>
      <w:r>
        <w:rPr>
          <w:rFonts w:ascii="Arial" w:hAnsi="Arial" w:cs="Arial"/>
          <w:color w:val="3B3838" w:themeColor="background2" w:themeShade="40"/>
          <w:sz w:val="20"/>
          <w:szCs w:val="20"/>
        </w:rPr>
        <w:t xml:space="preserve"> larger companies</w:t>
      </w:r>
      <w:r w:rsidRPr="00E55DE2">
        <w:rPr>
          <w:rFonts w:ascii="Arial" w:hAnsi="Arial" w:cs="Arial"/>
          <w:color w:val="3B3838" w:themeColor="background2" w:themeShade="40"/>
          <w:sz w:val="20"/>
          <w:szCs w:val="20"/>
        </w:rPr>
        <w:t xml:space="preserve"> in February while growth stocks continued to underperform their value counterparts.</w:t>
      </w:r>
      <w:r>
        <w:rPr>
          <w:rFonts w:ascii="Arial" w:hAnsi="Arial" w:cs="Arial"/>
          <w:color w:val="3B3838" w:themeColor="background2" w:themeShade="40"/>
          <w:sz w:val="20"/>
          <w:szCs w:val="20"/>
        </w:rPr>
        <w:t xml:space="preserve">  </w:t>
      </w:r>
    </w:p>
    <w:p w14:paraId="27D85CE9" w14:textId="77777777" w:rsidR="004A3AEE" w:rsidRPr="00E55DE2" w:rsidRDefault="004A3AEE" w:rsidP="004A3AEE">
      <w:pPr>
        <w:spacing w:after="0"/>
        <w:ind w:left="1440" w:right="-360"/>
        <w:rPr>
          <w:rFonts w:ascii="Arial" w:hAnsi="Arial" w:cs="Arial"/>
          <w:color w:val="3B3838" w:themeColor="background2" w:themeShade="40"/>
          <w:sz w:val="20"/>
          <w:szCs w:val="20"/>
        </w:rPr>
      </w:pPr>
      <w:r w:rsidRPr="00E55DE2">
        <w:rPr>
          <w:rFonts w:ascii="Arial" w:hAnsi="Arial" w:cs="Arial"/>
          <w:color w:val="3B3838" w:themeColor="background2" w:themeShade="40"/>
          <w:sz w:val="20"/>
          <w:szCs w:val="20"/>
        </w:rPr>
        <w:t xml:space="preserve"> </w:t>
      </w:r>
    </w:p>
    <w:p w14:paraId="32711F8D" w14:textId="1258B313" w:rsidR="004A3AEE" w:rsidRPr="00E55DE2" w:rsidRDefault="004A3AEE" w:rsidP="004A3AEE">
      <w:pPr>
        <w:spacing w:after="0"/>
        <w:ind w:left="1440" w:right="-360"/>
        <w:rPr>
          <w:rFonts w:ascii="Arial" w:hAnsi="Arial" w:cs="Arial"/>
          <w:color w:val="3B3838" w:themeColor="background2" w:themeShade="40"/>
          <w:sz w:val="20"/>
          <w:szCs w:val="20"/>
        </w:rPr>
      </w:pPr>
      <w:r w:rsidRPr="00E55DE2">
        <w:rPr>
          <w:rFonts w:ascii="Arial" w:hAnsi="Arial" w:cs="Arial"/>
          <w:color w:val="3B3838" w:themeColor="background2" w:themeShade="40"/>
          <w:sz w:val="20"/>
          <w:szCs w:val="20"/>
        </w:rPr>
        <w:t xml:space="preserve">Persistent inflation and expectations of multiple interest rate hikes weighed on US and international </w:t>
      </w:r>
      <w:r>
        <w:rPr>
          <w:rFonts w:ascii="Arial" w:hAnsi="Arial" w:cs="Arial"/>
          <w:color w:val="3B3838" w:themeColor="background2" w:themeShade="40"/>
          <w:sz w:val="20"/>
          <w:szCs w:val="20"/>
        </w:rPr>
        <w:t xml:space="preserve">developed </w:t>
      </w:r>
      <w:r w:rsidRPr="00E55DE2">
        <w:rPr>
          <w:rFonts w:ascii="Arial" w:hAnsi="Arial" w:cs="Arial"/>
          <w:color w:val="3B3838" w:themeColor="background2" w:themeShade="40"/>
          <w:sz w:val="20"/>
          <w:szCs w:val="20"/>
        </w:rPr>
        <w:t>fixed income markets, and both were down 1.1% for the month</w:t>
      </w:r>
      <w:r w:rsidRPr="001A41F9">
        <w:rPr>
          <w:rStyle w:val="EndnoteReference"/>
          <w:rFonts w:ascii="Arial" w:hAnsi="Arial" w:cs="Arial"/>
          <w:b/>
          <w:bCs/>
          <w:color w:val="3B3838" w:themeColor="background2" w:themeShade="40"/>
          <w:sz w:val="20"/>
          <w:szCs w:val="20"/>
        </w:rPr>
        <w:endnoteReference w:id="4"/>
      </w:r>
      <w:r w:rsidRPr="001A41F9">
        <w:rPr>
          <w:rFonts w:ascii="Arial" w:hAnsi="Arial" w:cs="Arial"/>
          <w:b/>
          <w:bCs/>
          <w:color w:val="3B3838" w:themeColor="background2" w:themeShade="40"/>
          <w:sz w:val="20"/>
          <w:szCs w:val="20"/>
        </w:rPr>
        <w:t xml:space="preserve">.  </w:t>
      </w:r>
      <w:r w:rsidRPr="001A41F9">
        <w:rPr>
          <w:rFonts w:ascii="Arial" w:hAnsi="Arial" w:cs="Arial"/>
          <w:color w:val="3B3838" w:themeColor="background2" w:themeShade="40"/>
          <w:sz w:val="20"/>
          <w:szCs w:val="20"/>
        </w:rPr>
        <w:t>Emerging market bonds</w:t>
      </w:r>
      <w:r>
        <w:rPr>
          <w:rFonts w:ascii="Arial" w:hAnsi="Arial" w:cs="Arial"/>
          <w:color w:val="3B3838" w:themeColor="background2" w:themeShade="40"/>
          <w:sz w:val="20"/>
          <w:szCs w:val="20"/>
        </w:rPr>
        <w:t xml:space="preserve"> were hit harder as investors fled to higher</w:t>
      </w:r>
      <w:r w:rsidR="007F3CA0">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quality debt amid </w:t>
      </w:r>
      <w:r w:rsidR="00281444">
        <w:rPr>
          <w:rFonts w:ascii="Arial" w:hAnsi="Arial" w:cs="Arial"/>
          <w:color w:val="3B3838" w:themeColor="background2" w:themeShade="40"/>
          <w:sz w:val="20"/>
          <w:szCs w:val="20"/>
        </w:rPr>
        <w:t xml:space="preserve">the </w:t>
      </w:r>
      <w:r>
        <w:rPr>
          <w:rFonts w:ascii="Arial" w:hAnsi="Arial" w:cs="Arial"/>
          <w:color w:val="3B3838" w:themeColor="background2" w:themeShade="40"/>
          <w:sz w:val="20"/>
          <w:szCs w:val="20"/>
        </w:rPr>
        <w:t>geopolitical crisis</w:t>
      </w:r>
      <w:r w:rsidRPr="001A41F9">
        <w:rPr>
          <w:rFonts w:ascii="Arial" w:hAnsi="Arial" w:cs="Arial"/>
          <w:color w:val="3B3838" w:themeColor="background2" w:themeShade="40"/>
          <w:sz w:val="20"/>
          <w:szCs w:val="20"/>
        </w:rPr>
        <w:t>, returning -4.5% and -7.1% respectively</w:t>
      </w:r>
      <w:r>
        <w:rPr>
          <w:rFonts w:ascii="Arial" w:hAnsi="Arial" w:cs="Arial"/>
          <w:color w:val="3B3838" w:themeColor="background2" w:themeShade="40"/>
          <w:sz w:val="20"/>
          <w:szCs w:val="20"/>
        </w:rPr>
        <w:t xml:space="preserve"> in dollar terms</w:t>
      </w:r>
      <w:r w:rsidRPr="001A41F9">
        <w:rPr>
          <w:rFonts w:ascii="Arial" w:hAnsi="Arial" w:cs="Arial"/>
          <w:color w:val="3B3838" w:themeColor="background2" w:themeShade="40"/>
          <w:sz w:val="20"/>
          <w:szCs w:val="20"/>
        </w:rPr>
        <w:t>. However, emerging market bond returns in local</w:t>
      </w:r>
      <w:r w:rsidRPr="00E55DE2">
        <w:rPr>
          <w:rFonts w:ascii="Arial" w:hAnsi="Arial" w:cs="Arial"/>
          <w:color w:val="3B3838" w:themeColor="background2" w:themeShade="40"/>
          <w:sz w:val="20"/>
          <w:szCs w:val="20"/>
        </w:rPr>
        <w:t xml:space="preserve"> currencies fared better for the month (-2.1%) and year to date (-2.6%). US TIPS posted a modest gain of 0.9% in February, but the remaining major bond sectors lost ground during the month, led by corporate investment grade bonds (-2.0%) and long treasuries (-1.5</w:t>
      </w:r>
      <w:r>
        <w:rPr>
          <w:rFonts w:ascii="Arial" w:hAnsi="Arial" w:cs="Arial"/>
          <w:color w:val="3B3838" w:themeColor="background2" w:themeShade="40"/>
          <w:sz w:val="20"/>
          <w:szCs w:val="20"/>
        </w:rPr>
        <w:t>%).</w:t>
      </w:r>
    </w:p>
    <w:p w14:paraId="38D433F2" w14:textId="77777777" w:rsidR="004A3AEE" w:rsidRPr="00E55DE2" w:rsidRDefault="004A3AEE" w:rsidP="004A3AEE">
      <w:pPr>
        <w:spacing w:after="0"/>
        <w:ind w:left="1440" w:right="-360"/>
        <w:rPr>
          <w:rFonts w:ascii="Arial" w:hAnsi="Arial" w:cs="Arial"/>
          <w:color w:val="3B3838" w:themeColor="background2" w:themeShade="40"/>
          <w:sz w:val="20"/>
          <w:szCs w:val="20"/>
        </w:rPr>
      </w:pPr>
      <w:r w:rsidRPr="00E55DE2">
        <w:rPr>
          <w:rFonts w:ascii="Arial" w:hAnsi="Arial" w:cs="Arial"/>
          <w:color w:val="3B3838" w:themeColor="background2" w:themeShade="40"/>
          <w:sz w:val="20"/>
          <w:szCs w:val="20"/>
        </w:rPr>
        <w:lastRenderedPageBreak/>
        <w:t xml:space="preserve"> </w:t>
      </w:r>
    </w:p>
    <w:p w14:paraId="3FD9AEF2" w14:textId="658CC657" w:rsidR="004A3AEE" w:rsidRDefault="004A3AEE" w:rsidP="004A3AEE">
      <w:pPr>
        <w:spacing w:after="0"/>
        <w:ind w:left="1440" w:right="-360"/>
        <w:rPr>
          <w:rFonts w:ascii="Arial" w:hAnsi="Arial" w:cs="Arial"/>
          <w:color w:val="3B3838" w:themeColor="background2" w:themeShade="40"/>
          <w:sz w:val="20"/>
          <w:szCs w:val="20"/>
        </w:rPr>
      </w:pPr>
      <w:r w:rsidRPr="00E55DE2">
        <w:rPr>
          <w:rFonts w:ascii="Arial" w:hAnsi="Arial" w:cs="Arial"/>
          <w:color w:val="3B3838" w:themeColor="background2" w:themeShade="40"/>
          <w:sz w:val="20"/>
          <w:szCs w:val="20"/>
        </w:rPr>
        <w:t xml:space="preserve">Commodities continued to rally as the broad index was up 6.2% in </w:t>
      </w:r>
      <w:r w:rsidRPr="00D116BD">
        <w:rPr>
          <w:rFonts w:ascii="Arial" w:hAnsi="Arial" w:cs="Arial"/>
          <w:color w:val="3B3838" w:themeColor="background2" w:themeShade="40"/>
          <w:sz w:val="20"/>
          <w:szCs w:val="20"/>
        </w:rPr>
        <w:t>February. Within comm</w:t>
      </w:r>
      <w:r>
        <w:rPr>
          <w:rFonts w:ascii="Arial" w:hAnsi="Arial" w:cs="Arial"/>
          <w:color w:val="3B3838" w:themeColor="background2" w:themeShade="40"/>
          <w:sz w:val="20"/>
          <w:szCs w:val="20"/>
        </w:rPr>
        <w:t>o</w:t>
      </w:r>
      <w:r w:rsidRPr="00D116BD">
        <w:rPr>
          <w:rFonts w:ascii="Arial" w:hAnsi="Arial" w:cs="Arial"/>
          <w:color w:val="3B3838" w:themeColor="background2" w:themeShade="40"/>
          <w:sz w:val="20"/>
          <w:szCs w:val="20"/>
        </w:rPr>
        <w:t>d</w:t>
      </w:r>
      <w:r>
        <w:rPr>
          <w:rFonts w:ascii="Arial" w:hAnsi="Arial" w:cs="Arial"/>
          <w:color w:val="3B3838" w:themeColor="background2" w:themeShade="40"/>
          <w:sz w:val="20"/>
          <w:szCs w:val="20"/>
        </w:rPr>
        <w:t>ities</w:t>
      </w:r>
      <w:r w:rsidRPr="00D116BD">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safe</w:t>
      </w:r>
      <w:r w:rsidR="002A773F">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haven investments like </w:t>
      </w:r>
      <w:r w:rsidRPr="00D116BD">
        <w:rPr>
          <w:rFonts w:ascii="Arial" w:hAnsi="Arial" w:cs="Arial"/>
          <w:color w:val="3B3838" w:themeColor="background2" w:themeShade="40"/>
          <w:sz w:val="20"/>
          <w:szCs w:val="20"/>
        </w:rPr>
        <w:t>gold and silver were both up for the month</w:t>
      </w:r>
      <w:r w:rsidR="002A773F">
        <w:rPr>
          <w:rFonts w:ascii="Arial" w:hAnsi="Arial" w:cs="Arial"/>
          <w:color w:val="3B3838" w:themeColor="background2" w:themeShade="40"/>
          <w:sz w:val="20"/>
          <w:szCs w:val="20"/>
        </w:rPr>
        <w:t>,</w:t>
      </w:r>
      <w:r w:rsidRPr="00D116BD">
        <w:rPr>
          <w:rFonts w:ascii="Arial" w:hAnsi="Arial" w:cs="Arial"/>
          <w:color w:val="3B3838" w:themeColor="background2" w:themeShade="40"/>
          <w:sz w:val="20"/>
          <w:szCs w:val="20"/>
        </w:rPr>
        <w:t xml:space="preserve"> returning</w:t>
      </w:r>
      <w:r w:rsidRPr="00E55DE2">
        <w:rPr>
          <w:rFonts w:ascii="Arial" w:hAnsi="Arial" w:cs="Arial"/>
          <w:color w:val="3B3838" w:themeColor="background2" w:themeShade="40"/>
          <w:sz w:val="20"/>
          <w:szCs w:val="20"/>
        </w:rPr>
        <w:t xml:space="preserve"> 5.8% and 8.6%</w:t>
      </w:r>
      <w:r>
        <w:rPr>
          <w:rFonts w:ascii="Arial" w:hAnsi="Arial" w:cs="Arial"/>
          <w:color w:val="3B3838" w:themeColor="background2" w:themeShade="40"/>
          <w:sz w:val="20"/>
          <w:szCs w:val="20"/>
        </w:rPr>
        <w:t xml:space="preserve"> respectively</w:t>
      </w:r>
      <w:r w:rsidRPr="00E55DE2">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w:t>
      </w:r>
      <w:r w:rsidRPr="00D646A5">
        <w:rPr>
          <w:rFonts w:ascii="Arial" w:hAnsi="Arial" w:cs="Arial"/>
          <w:color w:val="3B3838" w:themeColor="background2" w:themeShade="40"/>
          <w:sz w:val="20"/>
          <w:szCs w:val="20"/>
        </w:rPr>
        <w:t xml:space="preserve">After a stellar year in 2021, REITS </w:t>
      </w:r>
      <w:r>
        <w:rPr>
          <w:rFonts w:ascii="Arial" w:hAnsi="Arial" w:cs="Arial"/>
          <w:color w:val="3B3838" w:themeColor="background2" w:themeShade="40"/>
          <w:sz w:val="20"/>
          <w:szCs w:val="20"/>
        </w:rPr>
        <w:t>have cooled off</w:t>
      </w:r>
      <w:r w:rsidRPr="00D646A5">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 xml:space="preserve">and </w:t>
      </w:r>
      <w:r w:rsidRPr="00D646A5">
        <w:rPr>
          <w:rFonts w:ascii="Arial" w:hAnsi="Arial" w:cs="Arial"/>
          <w:color w:val="3B3838" w:themeColor="background2" w:themeShade="40"/>
          <w:sz w:val="20"/>
          <w:szCs w:val="20"/>
        </w:rPr>
        <w:t>cont</w:t>
      </w:r>
      <w:r>
        <w:rPr>
          <w:rFonts w:ascii="Arial" w:hAnsi="Arial" w:cs="Arial"/>
          <w:color w:val="3B3838" w:themeColor="background2" w:themeShade="40"/>
          <w:sz w:val="20"/>
          <w:szCs w:val="20"/>
        </w:rPr>
        <w:t>inued to struggle in February</w:t>
      </w:r>
      <w:r w:rsidRPr="00E55DE2">
        <w:rPr>
          <w:rFonts w:ascii="Arial" w:hAnsi="Arial" w:cs="Arial"/>
          <w:color w:val="3B3838" w:themeColor="background2" w:themeShade="40"/>
          <w:sz w:val="20"/>
          <w:szCs w:val="20"/>
        </w:rPr>
        <w:t>, down</w:t>
      </w:r>
      <w:r>
        <w:rPr>
          <w:rFonts w:ascii="Arial" w:hAnsi="Arial" w:cs="Arial"/>
          <w:color w:val="3B3838" w:themeColor="background2" w:themeShade="40"/>
          <w:sz w:val="20"/>
          <w:szCs w:val="20"/>
        </w:rPr>
        <w:t xml:space="preserve"> </w:t>
      </w:r>
      <w:r w:rsidRPr="00E55DE2">
        <w:rPr>
          <w:rFonts w:ascii="Arial" w:hAnsi="Arial" w:cs="Arial"/>
          <w:color w:val="3B3838" w:themeColor="background2" w:themeShade="40"/>
          <w:sz w:val="20"/>
          <w:szCs w:val="20"/>
        </w:rPr>
        <w:t xml:space="preserve">3.9% for the month and </w:t>
      </w:r>
      <w:r>
        <w:rPr>
          <w:rFonts w:ascii="Arial" w:hAnsi="Arial" w:cs="Arial"/>
          <w:color w:val="3B3838" w:themeColor="background2" w:themeShade="40"/>
          <w:sz w:val="20"/>
          <w:szCs w:val="20"/>
        </w:rPr>
        <w:t>-</w:t>
      </w:r>
      <w:r w:rsidRPr="00E55DE2">
        <w:rPr>
          <w:rFonts w:ascii="Arial" w:hAnsi="Arial" w:cs="Arial"/>
          <w:color w:val="3B3838" w:themeColor="background2" w:themeShade="40"/>
          <w:sz w:val="20"/>
          <w:szCs w:val="20"/>
        </w:rPr>
        <w:t>11.5% for the year</w:t>
      </w:r>
      <w:r w:rsidRPr="006F399C">
        <w:rPr>
          <w:rFonts w:ascii="Arial" w:hAnsi="Arial" w:cs="Arial"/>
          <w:color w:val="3B3838" w:themeColor="background2" w:themeShade="40"/>
          <w:sz w:val="20"/>
          <w:szCs w:val="20"/>
        </w:rPr>
        <w:t>.</w:t>
      </w:r>
    </w:p>
    <w:p w14:paraId="1D194033" w14:textId="77777777" w:rsidR="004A3AEE" w:rsidRDefault="004A3AEE" w:rsidP="004A3AEE">
      <w:pPr>
        <w:spacing w:after="0"/>
        <w:ind w:left="1440" w:right="-360"/>
        <w:rPr>
          <w:rFonts w:ascii="Arial" w:hAnsi="Arial" w:cs="Arial"/>
          <w:color w:val="3B3838" w:themeColor="background2" w:themeShade="40"/>
          <w:sz w:val="20"/>
          <w:szCs w:val="20"/>
        </w:rPr>
      </w:pPr>
    </w:p>
    <w:p w14:paraId="6CC0A689" w14:textId="345EF55D" w:rsidR="004A3AEE" w:rsidRPr="006F399C" w:rsidRDefault="004A3AEE" w:rsidP="004A3AEE">
      <w:pPr>
        <w:spacing w:after="0"/>
        <w:ind w:left="1440" w:right="-360"/>
        <w:rPr>
          <w:rFonts w:ascii="Arial" w:hAnsi="Arial" w:cs="Arial"/>
          <w:color w:val="3B3838" w:themeColor="background2" w:themeShade="40"/>
          <w:sz w:val="20"/>
          <w:szCs w:val="20"/>
        </w:rPr>
      </w:pPr>
      <w:r w:rsidRPr="000753AC">
        <w:rPr>
          <w:rFonts w:ascii="Arial" w:hAnsi="Arial" w:cs="Arial"/>
          <w:color w:val="3B3838" w:themeColor="background2" w:themeShade="40"/>
          <w:sz w:val="20"/>
          <w:szCs w:val="20"/>
        </w:rPr>
        <w:t>Relative to a globally balanced (60/40) equity/bond index, allocations to commodities</w:t>
      </w:r>
      <w:r>
        <w:rPr>
          <w:rFonts w:ascii="Arial" w:hAnsi="Arial" w:cs="Arial"/>
          <w:color w:val="3B3838" w:themeColor="background2" w:themeShade="40"/>
          <w:sz w:val="20"/>
          <w:szCs w:val="20"/>
        </w:rPr>
        <w:t>, gold</w:t>
      </w:r>
      <w:r w:rsidRPr="000753AC">
        <w:rPr>
          <w:rFonts w:ascii="Arial" w:hAnsi="Arial" w:cs="Arial"/>
          <w:color w:val="3B3838" w:themeColor="background2" w:themeShade="40"/>
          <w:sz w:val="20"/>
          <w:szCs w:val="20"/>
        </w:rPr>
        <w:t xml:space="preserve"> and global bonds helped while global </w:t>
      </w:r>
      <w:r w:rsidR="00E412E1">
        <w:rPr>
          <w:rFonts w:ascii="Arial" w:hAnsi="Arial" w:cs="Arial"/>
          <w:color w:val="3B3838" w:themeColor="background2" w:themeShade="40"/>
          <w:sz w:val="20"/>
          <w:szCs w:val="20"/>
        </w:rPr>
        <w:t xml:space="preserve">equities </w:t>
      </w:r>
      <w:r>
        <w:rPr>
          <w:rFonts w:ascii="Arial" w:hAnsi="Arial" w:cs="Arial"/>
          <w:color w:val="3B3838" w:themeColor="background2" w:themeShade="40"/>
          <w:sz w:val="20"/>
          <w:szCs w:val="20"/>
        </w:rPr>
        <w:t xml:space="preserve">and </w:t>
      </w:r>
      <w:r w:rsidRPr="000753AC">
        <w:rPr>
          <w:rFonts w:ascii="Arial" w:hAnsi="Arial" w:cs="Arial"/>
          <w:color w:val="3B3838" w:themeColor="background2" w:themeShade="40"/>
          <w:sz w:val="20"/>
          <w:szCs w:val="20"/>
        </w:rPr>
        <w:t>US REITs hurt for the month.</w:t>
      </w:r>
    </w:p>
    <w:p w14:paraId="35C1D6F2" w14:textId="77777777" w:rsidR="004A3AEE" w:rsidRDefault="004A3AEE" w:rsidP="004A3AEE">
      <w:pPr>
        <w:autoSpaceDE w:val="0"/>
        <w:autoSpaceDN w:val="0"/>
        <w:spacing w:after="0"/>
        <w:ind w:right="-360"/>
        <w:rPr>
          <w:rFonts w:ascii="Arial" w:hAnsi="Arial" w:cs="Arial"/>
          <w:color w:val="7F7F7F" w:themeColor="text1" w:themeTint="80"/>
          <w:sz w:val="18"/>
          <w:szCs w:val="18"/>
        </w:rPr>
      </w:pPr>
      <w:r>
        <w:rPr>
          <w:noProof/>
        </w:rPr>
        <w:drawing>
          <wp:anchor distT="0" distB="0" distL="114300" distR="114300" simplePos="0" relativeHeight="251681792" behindDoc="0" locked="0" layoutInCell="1" allowOverlap="1" wp14:anchorId="4005FF92" wp14:editId="412A59D5">
            <wp:simplePos x="0" y="0"/>
            <wp:positionH relativeFrom="margin">
              <wp:align>right</wp:align>
            </wp:positionH>
            <wp:positionV relativeFrom="page">
              <wp:posOffset>2548255</wp:posOffset>
            </wp:positionV>
            <wp:extent cx="5271770" cy="2680335"/>
            <wp:effectExtent l="0" t="0" r="5080" b="571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685FE172" w14:textId="77777777" w:rsidR="004A3AEE" w:rsidRPr="00706956" w:rsidRDefault="004A3AEE" w:rsidP="004A3AEE">
      <w:pPr>
        <w:autoSpaceDE w:val="0"/>
        <w:autoSpaceDN w:val="0"/>
        <w:spacing w:after="0"/>
        <w:ind w:left="1470" w:right="-360" w:firstLine="14"/>
        <w:rPr>
          <w:rFonts w:ascii="Arial" w:hAnsi="Arial" w:cs="Arial"/>
          <w:noProof/>
          <w:color w:val="3B3838" w:themeColor="background2" w:themeShade="40"/>
          <w:sz w:val="20"/>
          <w:szCs w:val="20"/>
        </w:rPr>
      </w:pPr>
      <w:r w:rsidRPr="005C2C8A">
        <w:rPr>
          <w:rFonts w:ascii="Arial" w:hAnsi="Arial" w:cs="Arial"/>
          <w:color w:val="7F7F7F" w:themeColor="text1" w:themeTint="80"/>
          <w:sz w:val="18"/>
          <w:szCs w:val="18"/>
        </w:rPr>
        <w:t>Source:  Zephyr Style Advisor</w:t>
      </w:r>
    </w:p>
    <w:p w14:paraId="246DE4C5" w14:textId="77777777" w:rsidR="004A3AEE" w:rsidRDefault="004A3AEE" w:rsidP="00996FBD">
      <w:pPr>
        <w:spacing w:after="0"/>
        <w:ind w:left="-720" w:right="-720"/>
        <w:rPr>
          <w:rFonts w:ascii="Arial" w:hAnsi="Arial" w:cs="Arial"/>
          <w:b/>
          <w:color w:val="0070C0"/>
          <w:sz w:val="20"/>
          <w:szCs w:val="20"/>
        </w:rPr>
      </w:pPr>
    </w:p>
    <w:p w14:paraId="452AFDC2" w14:textId="266E1BEC" w:rsidR="002F7F11" w:rsidRDefault="002F7F11" w:rsidP="00AC6525">
      <w:pPr>
        <w:autoSpaceDE w:val="0"/>
        <w:autoSpaceDN w:val="0"/>
        <w:spacing w:after="0"/>
        <w:ind w:right="-360"/>
        <w:rPr>
          <w:rFonts w:ascii="Arial" w:hAnsi="Arial" w:cs="Arial"/>
          <w:color w:val="3B3838" w:themeColor="background2" w:themeShade="40"/>
          <w:sz w:val="20"/>
          <w:szCs w:val="20"/>
        </w:rPr>
      </w:pPr>
    </w:p>
    <w:p w14:paraId="2118F804" w14:textId="2DEA0293" w:rsidR="00996FBD" w:rsidRDefault="00B5385F" w:rsidP="000E5F02">
      <w:pPr>
        <w:autoSpaceDE w:val="0"/>
        <w:autoSpaceDN w:val="0"/>
        <w:spacing w:after="0"/>
        <w:ind w:right="-360" w:hanging="540"/>
        <w:rPr>
          <w:rFonts w:ascii="Arial" w:hAnsi="Arial" w:cs="Arial"/>
          <w:color w:val="343433"/>
          <w:sz w:val="21"/>
        </w:rPr>
      </w:pPr>
      <w:r w:rsidRPr="0040163B">
        <w:rPr>
          <w:rFonts w:ascii="Arial" w:hAnsi="Arial" w:cs="Arial"/>
          <w:color w:val="343433"/>
          <w:sz w:val="21"/>
        </w:rPr>
        <w:t>DEFINITIONS</w:t>
      </w:r>
    </w:p>
    <w:p w14:paraId="05719B78" w14:textId="77777777" w:rsidR="008C20D8" w:rsidRDefault="008C20D8" w:rsidP="000E5F02">
      <w:pPr>
        <w:autoSpaceDE w:val="0"/>
        <w:autoSpaceDN w:val="0"/>
        <w:spacing w:after="0"/>
        <w:ind w:right="-360" w:hanging="540"/>
        <w:rPr>
          <w:rFonts w:ascii="Arial" w:hAnsi="Arial" w:cs="Arial"/>
          <w:color w:val="343433"/>
          <w:sz w:val="21"/>
        </w:rPr>
      </w:pP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3490"/>
        <w:gridCol w:w="3583"/>
      </w:tblGrid>
      <w:tr w:rsidR="008C20D8" w:rsidRPr="00567CF8" w14:paraId="78D2843B" w14:textId="77777777" w:rsidTr="002C32BB">
        <w:trPr>
          <w:trHeight w:val="264"/>
        </w:trPr>
        <w:tc>
          <w:tcPr>
            <w:tcW w:w="1654" w:type="dxa"/>
            <w:tcBorders>
              <w:top w:val="nil"/>
              <w:left w:val="nil"/>
              <w:bottom w:val="nil"/>
              <w:right w:val="nil"/>
            </w:tcBorders>
            <w:shd w:val="clear" w:color="auto" w:fill="auto"/>
            <w:noWrap/>
            <w:vAlign w:val="bottom"/>
            <w:hideMark/>
          </w:tcPr>
          <w:p w14:paraId="480F9592" w14:textId="77777777" w:rsidR="008C20D8" w:rsidRPr="00567CF8" w:rsidRDefault="008C20D8" w:rsidP="002C32BB">
            <w:pPr>
              <w:spacing w:after="0" w:line="240" w:lineRule="auto"/>
              <w:rPr>
                <w:rFonts w:ascii="Arial" w:hAnsi="Arial" w:cs="Arial"/>
                <w:b/>
                <w:bCs/>
                <w:color w:val="000000"/>
                <w:sz w:val="18"/>
                <w:szCs w:val="18"/>
              </w:rPr>
            </w:pPr>
            <w:bookmarkStart w:id="0" w:name="_Hlk52777023"/>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18E9D8A9" w14:textId="77777777" w:rsidR="008C20D8" w:rsidRPr="00567CF8" w:rsidRDefault="008C20D8" w:rsidP="002C32BB">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gridSpan w:val="2"/>
            <w:tcBorders>
              <w:top w:val="nil"/>
              <w:left w:val="nil"/>
              <w:bottom w:val="nil"/>
              <w:right w:val="nil"/>
            </w:tcBorders>
            <w:shd w:val="clear" w:color="auto" w:fill="auto"/>
            <w:noWrap/>
            <w:vAlign w:val="bottom"/>
            <w:hideMark/>
          </w:tcPr>
          <w:p w14:paraId="5E297DF8" w14:textId="77777777" w:rsidR="008C20D8" w:rsidRPr="00567CF8" w:rsidRDefault="008C20D8" w:rsidP="002C32BB">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tr w:rsidR="008C20D8" w:rsidRPr="00567CF8" w14:paraId="7123EA5F" w14:textId="77777777" w:rsidTr="002C32BB">
        <w:trPr>
          <w:trHeight w:val="636"/>
        </w:trPr>
        <w:tc>
          <w:tcPr>
            <w:tcW w:w="1654" w:type="dxa"/>
            <w:tcBorders>
              <w:top w:val="nil"/>
              <w:left w:val="nil"/>
              <w:bottom w:val="nil"/>
              <w:right w:val="nil"/>
            </w:tcBorders>
            <w:shd w:val="clear" w:color="auto" w:fill="auto"/>
            <w:hideMark/>
          </w:tcPr>
          <w:p w14:paraId="3F27D647"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US Equity</w:t>
            </w:r>
          </w:p>
        </w:tc>
        <w:tc>
          <w:tcPr>
            <w:tcW w:w="1929" w:type="dxa"/>
            <w:tcBorders>
              <w:top w:val="nil"/>
              <w:left w:val="nil"/>
              <w:bottom w:val="nil"/>
              <w:right w:val="nil"/>
            </w:tcBorders>
            <w:shd w:val="clear" w:color="auto" w:fill="auto"/>
            <w:hideMark/>
          </w:tcPr>
          <w:p w14:paraId="76542B98"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S&amp;P 500</w:t>
            </w:r>
          </w:p>
        </w:tc>
        <w:tc>
          <w:tcPr>
            <w:tcW w:w="7073" w:type="dxa"/>
            <w:gridSpan w:val="2"/>
            <w:tcBorders>
              <w:top w:val="nil"/>
              <w:left w:val="nil"/>
              <w:bottom w:val="nil"/>
              <w:right w:val="nil"/>
            </w:tcBorders>
            <w:shd w:val="clear" w:color="auto" w:fill="auto"/>
            <w:hideMark/>
          </w:tcPr>
          <w:p w14:paraId="16196334" w14:textId="77777777" w:rsidR="008C20D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500 leading companies in the U.S.  Constituents generally have a market-cap above $5 billion and represent approximately 80% of the investable market. </w:t>
            </w:r>
          </w:p>
          <w:p w14:paraId="66FF7477"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6A4B2CC6" w14:textId="77777777" w:rsidTr="002C32BB">
        <w:trPr>
          <w:trHeight w:val="384"/>
        </w:trPr>
        <w:tc>
          <w:tcPr>
            <w:tcW w:w="1654" w:type="dxa"/>
            <w:tcBorders>
              <w:top w:val="nil"/>
              <w:left w:val="nil"/>
              <w:bottom w:val="nil"/>
              <w:right w:val="nil"/>
            </w:tcBorders>
            <w:shd w:val="clear" w:color="auto" w:fill="auto"/>
            <w:hideMark/>
          </w:tcPr>
          <w:p w14:paraId="09E322FF"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Global Equity</w:t>
            </w:r>
          </w:p>
        </w:tc>
        <w:tc>
          <w:tcPr>
            <w:tcW w:w="1929" w:type="dxa"/>
            <w:tcBorders>
              <w:top w:val="nil"/>
              <w:left w:val="nil"/>
              <w:bottom w:val="nil"/>
              <w:right w:val="nil"/>
            </w:tcBorders>
            <w:shd w:val="clear" w:color="auto" w:fill="auto"/>
            <w:hideMark/>
          </w:tcPr>
          <w:p w14:paraId="69C23413"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MSCI ACWI </w:t>
            </w:r>
          </w:p>
        </w:tc>
        <w:tc>
          <w:tcPr>
            <w:tcW w:w="7073" w:type="dxa"/>
            <w:gridSpan w:val="2"/>
            <w:tcBorders>
              <w:top w:val="nil"/>
              <w:left w:val="nil"/>
              <w:bottom w:val="nil"/>
              <w:right w:val="nil"/>
            </w:tcBorders>
            <w:shd w:val="clear" w:color="auto" w:fill="auto"/>
            <w:hideMark/>
          </w:tcPr>
          <w:p w14:paraId="5A54B9E2" w14:textId="77777777" w:rsidR="008C20D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large- and mid-cap equity performance of developed and emerging markets.  Represents approximately 85% of the global equity investment universe. </w:t>
            </w:r>
          </w:p>
          <w:p w14:paraId="7F6BEC0A"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74E2C9A5" w14:textId="77777777" w:rsidTr="002C32BB">
        <w:trPr>
          <w:trHeight w:val="537"/>
        </w:trPr>
        <w:tc>
          <w:tcPr>
            <w:tcW w:w="1654" w:type="dxa"/>
            <w:tcBorders>
              <w:top w:val="nil"/>
              <w:left w:val="nil"/>
              <w:bottom w:val="nil"/>
              <w:right w:val="nil"/>
            </w:tcBorders>
            <w:shd w:val="clear" w:color="auto" w:fill="auto"/>
            <w:hideMark/>
          </w:tcPr>
          <w:p w14:paraId="61018C8F"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International Developed Equity</w:t>
            </w:r>
          </w:p>
        </w:tc>
        <w:tc>
          <w:tcPr>
            <w:tcW w:w="1929" w:type="dxa"/>
            <w:tcBorders>
              <w:top w:val="nil"/>
              <w:left w:val="nil"/>
              <w:bottom w:val="nil"/>
              <w:right w:val="nil"/>
            </w:tcBorders>
            <w:shd w:val="clear" w:color="auto" w:fill="auto"/>
            <w:hideMark/>
          </w:tcPr>
          <w:p w14:paraId="137A219E"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MSCI EAFE</w:t>
            </w:r>
          </w:p>
        </w:tc>
        <w:tc>
          <w:tcPr>
            <w:tcW w:w="7073" w:type="dxa"/>
            <w:gridSpan w:val="2"/>
            <w:tcBorders>
              <w:top w:val="nil"/>
              <w:left w:val="nil"/>
              <w:bottom w:val="nil"/>
              <w:right w:val="nil"/>
            </w:tcBorders>
            <w:shd w:val="clear" w:color="auto" w:fill="auto"/>
            <w:hideMark/>
          </w:tcPr>
          <w:p w14:paraId="4F6871CE"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measures the equity performance of countries considered to represent developed markets, excluding the U.S. and Canada.</w:t>
            </w:r>
          </w:p>
        </w:tc>
      </w:tr>
      <w:tr w:rsidR="008C20D8" w:rsidRPr="00567CF8" w14:paraId="67629128" w14:textId="77777777" w:rsidTr="002C32BB">
        <w:trPr>
          <w:trHeight w:val="546"/>
        </w:trPr>
        <w:tc>
          <w:tcPr>
            <w:tcW w:w="1654" w:type="dxa"/>
            <w:tcBorders>
              <w:top w:val="nil"/>
              <w:left w:val="nil"/>
              <w:bottom w:val="nil"/>
              <w:right w:val="nil"/>
            </w:tcBorders>
            <w:shd w:val="clear" w:color="auto" w:fill="auto"/>
            <w:hideMark/>
          </w:tcPr>
          <w:p w14:paraId="3B5EA8AA"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Emerging Markets (EM) Equity</w:t>
            </w:r>
          </w:p>
        </w:tc>
        <w:tc>
          <w:tcPr>
            <w:tcW w:w="1929" w:type="dxa"/>
            <w:tcBorders>
              <w:top w:val="nil"/>
              <w:left w:val="nil"/>
              <w:bottom w:val="nil"/>
              <w:right w:val="nil"/>
            </w:tcBorders>
            <w:shd w:val="clear" w:color="auto" w:fill="auto"/>
            <w:hideMark/>
          </w:tcPr>
          <w:p w14:paraId="397966FD"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MSCI Emerging Markets</w:t>
            </w:r>
          </w:p>
        </w:tc>
        <w:tc>
          <w:tcPr>
            <w:tcW w:w="7073" w:type="dxa"/>
            <w:gridSpan w:val="2"/>
            <w:tcBorders>
              <w:top w:val="nil"/>
              <w:left w:val="nil"/>
              <w:bottom w:val="nil"/>
              <w:right w:val="nil"/>
            </w:tcBorders>
            <w:shd w:val="clear" w:color="auto" w:fill="auto"/>
            <w:hideMark/>
          </w:tcPr>
          <w:p w14:paraId="0170BA9A" w14:textId="77777777" w:rsidR="008C20D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equity market performance of countries considered to represent emerging markets. </w:t>
            </w:r>
          </w:p>
          <w:p w14:paraId="5CB34C62" w14:textId="77777777" w:rsidR="008C20D8" w:rsidRDefault="008C20D8" w:rsidP="002C32BB">
            <w:pPr>
              <w:spacing w:after="0" w:line="240" w:lineRule="auto"/>
              <w:rPr>
                <w:rFonts w:ascii="Arial" w:hAnsi="Arial" w:cs="Arial"/>
                <w:color w:val="000000"/>
                <w:sz w:val="18"/>
                <w:szCs w:val="18"/>
              </w:rPr>
            </w:pPr>
          </w:p>
          <w:p w14:paraId="65862C68"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61FDAAEF" w14:textId="77777777" w:rsidTr="002C32BB">
        <w:trPr>
          <w:gridAfter w:val="1"/>
          <w:wAfter w:w="3583" w:type="dxa"/>
          <w:trHeight w:val="78"/>
        </w:trPr>
        <w:tc>
          <w:tcPr>
            <w:tcW w:w="7073" w:type="dxa"/>
            <w:gridSpan w:val="3"/>
            <w:tcBorders>
              <w:top w:val="nil"/>
              <w:left w:val="nil"/>
              <w:bottom w:val="nil"/>
              <w:right w:val="nil"/>
            </w:tcBorders>
            <w:shd w:val="clear" w:color="auto" w:fill="auto"/>
          </w:tcPr>
          <w:p w14:paraId="4B67A3A4"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4065824F" w14:textId="77777777" w:rsidTr="002C32BB">
        <w:trPr>
          <w:trHeight w:val="1791"/>
        </w:trPr>
        <w:tc>
          <w:tcPr>
            <w:tcW w:w="10656" w:type="dxa"/>
            <w:gridSpan w:val="4"/>
            <w:tcBorders>
              <w:top w:val="nil"/>
              <w:left w:val="nil"/>
              <w:right w:val="nil"/>
            </w:tcBorders>
            <w:shd w:val="clear" w:color="auto" w:fill="auto"/>
          </w:tcPr>
          <w:tbl>
            <w:tblPr>
              <w:tblW w:w="10346" w:type="dxa"/>
              <w:tblLayout w:type="fixed"/>
              <w:tblLook w:val="04A0" w:firstRow="1" w:lastRow="0" w:firstColumn="1" w:lastColumn="0" w:noHBand="0" w:noVBand="1"/>
            </w:tblPr>
            <w:tblGrid>
              <w:gridCol w:w="1502"/>
              <w:gridCol w:w="1961"/>
              <w:gridCol w:w="6883"/>
            </w:tblGrid>
            <w:tr w:rsidR="008C20D8" w:rsidRPr="00567CF8" w14:paraId="60667CEC" w14:textId="77777777" w:rsidTr="002C32BB">
              <w:trPr>
                <w:trHeight w:val="569"/>
              </w:trPr>
              <w:tc>
                <w:tcPr>
                  <w:tcW w:w="1502" w:type="dxa"/>
                  <w:tcBorders>
                    <w:top w:val="nil"/>
                    <w:left w:val="nil"/>
                    <w:bottom w:val="nil"/>
                    <w:right w:val="nil"/>
                  </w:tcBorders>
                  <w:shd w:val="clear" w:color="auto" w:fill="auto"/>
                </w:tcPr>
                <w:p w14:paraId="5B93834A" w14:textId="77777777" w:rsidR="008C20D8" w:rsidRPr="003127F9" w:rsidRDefault="008C20D8" w:rsidP="002C32BB">
                  <w:pPr>
                    <w:spacing w:after="0" w:line="240" w:lineRule="auto"/>
                    <w:rPr>
                      <w:rFonts w:ascii="Arial" w:hAnsi="Arial" w:cs="Arial"/>
                      <w:color w:val="000000"/>
                      <w:sz w:val="18"/>
                      <w:szCs w:val="18"/>
                    </w:rPr>
                  </w:pPr>
                  <w:r w:rsidRPr="003127F9">
                    <w:rPr>
                      <w:rFonts w:ascii="Arial" w:hAnsi="Arial" w:cs="Arial"/>
                      <w:color w:val="000000"/>
                      <w:sz w:val="18"/>
                      <w:szCs w:val="18"/>
                    </w:rPr>
                    <w:t>Global Fixed Income</w:t>
                  </w:r>
                </w:p>
              </w:tc>
              <w:tc>
                <w:tcPr>
                  <w:tcW w:w="1961" w:type="dxa"/>
                  <w:tcBorders>
                    <w:top w:val="nil"/>
                    <w:left w:val="nil"/>
                    <w:bottom w:val="nil"/>
                    <w:right w:val="nil"/>
                  </w:tcBorders>
                  <w:shd w:val="clear" w:color="auto" w:fill="auto"/>
                </w:tcPr>
                <w:p w14:paraId="4520A060" w14:textId="77777777" w:rsidR="008C20D8" w:rsidRPr="003127F9" w:rsidRDefault="008C20D8" w:rsidP="002C32BB">
                  <w:pPr>
                    <w:spacing w:after="0" w:line="240" w:lineRule="auto"/>
                    <w:rPr>
                      <w:rFonts w:ascii="Arial" w:hAnsi="Arial" w:cs="Arial"/>
                      <w:color w:val="000000"/>
                      <w:sz w:val="18"/>
                      <w:szCs w:val="18"/>
                    </w:rPr>
                  </w:pPr>
                  <w:r w:rsidRPr="00B67D7C">
                    <w:rPr>
                      <w:rFonts w:ascii="Arial" w:hAnsi="Arial" w:cs="Arial"/>
                      <w:color w:val="000000"/>
                      <w:sz w:val="18"/>
                      <w:szCs w:val="18"/>
                    </w:rPr>
                    <w:t>Bloomberg</w:t>
                  </w:r>
                  <w:r w:rsidRPr="003127F9">
                    <w:rPr>
                      <w:rFonts w:ascii="Arial" w:hAnsi="Arial" w:cs="Arial"/>
                      <w:color w:val="000000"/>
                      <w:sz w:val="18"/>
                      <w:szCs w:val="18"/>
                    </w:rPr>
                    <w:t xml:space="preserve"> Global Aggregate</w:t>
                  </w:r>
                </w:p>
              </w:tc>
              <w:tc>
                <w:tcPr>
                  <w:tcW w:w="6883" w:type="dxa"/>
                  <w:tcBorders>
                    <w:top w:val="nil"/>
                    <w:left w:val="nil"/>
                    <w:bottom w:val="nil"/>
                    <w:right w:val="nil"/>
                  </w:tcBorders>
                  <w:shd w:val="clear" w:color="auto" w:fill="auto"/>
                </w:tcPr>
                <w:p w14:paraId="0FB54B55" w14:textId="77777777" w:rsidR="008C20D8" w:rsidRDefault="008C20D8" w:rsidP="002C32BB">
                  <w:pPr>
                    <w:spacing w:after="0" w:line="240" w:lineRule="auto"/>
                    <w:rPr>
                      <w:rFonts w:ascii="Arial" w:hAnsi="Arial" w:cs="Arial"/>
                      <w:color w:val="000000"/>
                      <w:sz w:val="18"/>
                      <w:szCs w:val="18"/>
                    </w:rPr>
                  </w:pPr>
                  <w:r>
                    <w:rPr>
                      <w:rFonts w:ascii="Arial" w:hAnsi="Arial" w:cs="Arial"/>
                      <w:color w:val="000000"/>
                      <w:sz w:val="18"/>
                      <w:szCs w:val="18"/>
                    </w:rPr>
                    <w:t>m</w:t>
                  </w:r>
                  <w:r w:rsidRPr="00567CF8">
                    <w:rPr>
                      <w:rFonts w:ascii="Arial" w:hAnsi="Arial" w:cs="Arial"/>
                      <w:color w:val="000000"/>
                      <w:sz w:val="18"/>
                      <w:szCs w:val="18"/>
                    </w:rPr>
                    <w:t xml:space="preserve">easures the performance of global, investment-grade debt from 24 local currency markets.  This benchmark includes treasury, government-related, </w:t>
                  </w:r>
                  <w:proofErr w:type="gramStart"/>
                  <w:r w:rsidRPr="00567CF8">
                    <w:rPr>
                      <w:rFonts w:ascii="Arial" w:hAnsi="Arial" w:cs="Arial"/>
                      <w:color w:val="000000"/>
                      <w:sz w:val="18"/>
                      <w:szCs w:val="18"/>
                    </w:rPr>
                    <w:t>corporate</w:t>
                  </w:r>
                  <w:proofErr w:type="gramEnd"/>
                  <w:r w:rsidRPr="00567CF8">
                    <w:rPr>
                      <w:rFonts w:ascii="Arial" w:hAnsi="Arial" w:cs="Arial"/>
                      <w:color w:val="000000"/>
                      <w:sz w:val="18"/>
                      <w:szCs w:val="18"/>
                    </w:rPr>
                    <w:t xml:space="preserve"> and securitized fixed-rate bonds from both developed and emerging markets issuers</w:t>
                  </w:r>
                  <w:r>
                    <w:rPr>
                      <w:rFonts w:ascii="Arial" w:hAnsi="Arial" w:cs="Arial"/>
                      <w:color w:val="000000"/>
                      <w:sz w:val="18"/>
                      <w:szCs w:val="18"/>
                    </w:rPr>
                    <w:t>.</w:t>
                  </w:r>
                </w:p>
                <w:p w14:paraId="3917C828"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3FB88B55" w14:textId="77777777" w:rsidTr="002C32BB">
              <w:trPr>
                <w:trHeight w:val="698"/>
              </w:trPr>
              <w:tc>
                <w:tcPr>
                  <w:tcW w:w="1502" w:type="dxa"/>
                  <w:tcBorders>
                    <w:top w:val="nil"/>
                    <w:left w:val="nil"/>
                    <w:bottom w:val="nil"/>
                    <w:right w:val="nil"/>
                  </w:tcBorders>
                  <w:shd w:val="clear" w:color="auto" w:fill="auto"/>
                </w:tcPr>
                <w:p w14:paraId="56D35422" w14:textId="77777777" w:rsidR="008C20D8" w:rsidRPr="00B67D7C" w:rsidRDefault="008C20D8" w:rsidP="002C32BB">
                  <w:pPr>
                    <w:spacing w:after="0" w:line="240" w:lineRule="auto"/>
                    <w:rPr>
                      <w:rFonts w:ascii="Arial" w:hAnsi="Arial" w:cs="Arial"/>
                      <w:color w:val="000000"/>
                      <w:sz w:val="18"/>
                      <w:szCs w:val="18"/>
                    </w:rPr>
                  </w:pPr>
                  <w:r w:rsidRPr="00B67D7C">
                    <w:rPr>
                      <w:rFonts w:ascii="Arial" w:hAnsi="Arial" w:cs="Arial"/>
                      <w:color w:val="000000"/>
                      <w:sz w:val="18"/>
                      <w:szCs w:val="18"/>
                    </w:rPr>
                    <w:t>US Fixed Income</w:t>
                  </w:r>
                </w:p>
              </w:tc>
              <w:tc>
                <w:tcPr>
                  <w:tcW w:w="1961" w:type="dxa"/>
                  <w:tcBorders>
                    <w:top w:val="nil"/>
                    <w:left w:val="nil"/>
                    <w:bottom w:val="nil"/>
                    <w:right w:val="nil"/>
                  </w:tcBorders>
                  <w:shd w:val="clear" w:color="auto" w:fill="auto"/>
                </w:tcPr>
                <w:p w14:paraId="044F737F" w14:textId="77777777" w:rsidR="008C20D8" w:rsidRPr="00B67D7C" w:rsidRDefault="008C20D8" w:rsidP="002C32BB">
                  <w:pPr>
                    <w:spacing w:after="0" w:line="240" w:lineRule="auto"/>
                    <w:rPr>
                      <w:rFonts w:ascii="Arial" w:hAnsi="Arial" w:cs="Arial"/>
                      <w:color w:val="000000"/>
                      <w:sz w:val="18"/>
                      <w:szCs w:val="18"/>
                    </w:rPr>
                  </w:pPr>
                  <w:r w:rsidRPr="00B67D7C">
                    <w:rPr>
                      <w:rFonts w:ascii="Arial" w:hAnsi="Arial" w:cs="Arial"/>
                      <w:color w:val="000000"/>
                      <w:sz w:val="18"/>
                      <w:szCs w:val="18"/>
                    </w:rPr>
                    <w:t>Bloomberg US Aggregate</w:t>
                  </w:r>
                </w:p>
              </w:tc>
              <w:tc>
                <w:tcPr>
                  <w:tcW w:w="6883" w:type="dxa"/>
                  <w:tcBorders>
                    <w:top w:val="nil"/>
                    <w:left w:val="nil"/>
                    <w:bottom w:val="nil"/>
                    <w:right w:val="nil"/>
                  </w:tcBorders>
                  <w:shd w:val="clear" w:color="auto" w:fill="auto"/>
                </w:tcPr>
                <w:p w14:paraId="770E8C20" w14:textId="77777777" w:rsidR="008C20D8" w:rsidRPr="00B67D7C" w:rsidRDefault="008C20D8" w:rsidP="002C32BB">
                  <w:pPr>
                    <w:spacing w:after="0" w:line="240" w:lineRule="auto"/>
                    <w:rPr>
                      <w:rFonts w:ascii="Arial" w:hAnsi="Arial" w:cs="Arial"/>
                      <w:color w:val="000000"/>
                      <w:sz w:val="18"/>
                      <w:szCs w:val="18"/>
                    </w:rPr>
                  </w:pPr>
                  <w:r w:rsidRPr="004561AF">
                    <w:rPr>
                      <w:rFonts w:ascii="Arial" w:hAnsi="Arial" w:cs="Arial"/>
                      <w:color w:val="000000"/>
                      <w:sz w:val="18"/>
                      <w:szCs w:val="18"/>
                    </w:rPr>
                    <w:t>measures the performance of USD-denominated, investment-grade, fixed-rate taxable bond market of SEC-registered securities.  The index includes Treasury bonds, Government-related Corporate, MBS (agency fixed-rate and hybrid ARM pass-throughs), ABS and CMBS sectors</w:t>
                  </w:r>
                  <w:r w:rsidRPr="00B67D7C">
                    <w:rPr>
                      <w:rFonts w:ascii="Arial" w:hAnsi="Arial" w:cs="Arial"/>
                      <w:color w:val="000000"/>
                      <w:sz w:val="18"/>
                      <w:szCs w:val="18"/>
                    </w:rPr>
                    <w:t>.</w:t>
                  </w:r>
                </w:p>
                <w:p w14:paraId="0422A249" w14:textId="77777777" w:rsidR="008C20D8" w:rsidRPr="006C7478" w:rsidRDefault="008C20D8" w:rsidP="002C32BB">
                  <w:pPr>
                    <w:spacing w:after="0" w:line="240" w:lineRule="auto"/>
                    <w:rPr>
                      <w:rFonts w:ascii="Arial" w:hAnsi="Arial" w:cs="Arial"/>
                      <w:color w:val="000000"/>
                      <w:sz w:val="18"/>
                      <w:szCs w:val="18"/>
                      <w:highlight w:val="yellow"/>
                    </w:rPr>
                  </w:pPr>
                </w:p>
              </w:tc>
            </w:tr>
            <w:tr w:rsidR="008C20D8" w:rsidRPr="00567CF8" w14:paraId="111C636E" w14:textId="77777777" w:rsidTr="002C32BB">
              <w:trPr>
                <w:trHeight w:val="698"/>
              </w:trPr>
              <w:tc>
                <w:tcPr>
                  <w:tcW w:w="1502" w:type="dxa"/>
                  <w:tcBorders>
                    <w:top w:val="nil"/>
                    <w:left w:val="nil"/>
                    <w:bottom w:val="nil"/>
                    <w:right w:val="nil"/>
                  </w:tcBorders>
                  <w:shd w:val="clear" w:color="auto" w:fill="auto"/>
                </w:tcPr>
                <w:p w14:paraId="25C61A4A" w14:textId="77777777" w:rsidR="008C20D8" w:rsidRPr="00B67D7C" w:rsidRDefault="008C20D8" w:rsidP="002C32BB">
                  <w:pPr>
                    <w:spacing w:after="0" w:line="240" w:lineRule="auto"/>
                    <w:rPr>
                      <w:rFonts w:ascii="Arial" w:hAnsi="Arial" w:cs="Arial"/>
                      <w:color w:val="000000"/>
                      <w:sz w:val="18"/>
                      <w:szCs w:val="18"/>
                    </w:rPr>
                  </w:pPr>
                  <w:r w:rsidRPr="00B67D7C">
                    <w:rPr>
                      <w:rFonts w:ascii="Arial" w:hAnsi="Arial" w:cs="Arial"/>
                      <w:color w:val="000000"/>
                      <w:sz w:val="18"/>
                      <w:szCs w:val="18"/>
                    </w:rPr>
                    <w:lastRenderedPageBreak/>
                    <w:t>US Long Treasuries</w:t>
                  </w:r>
                </w:p>
              </w:tc>
              <w:tc>
                <w:tcPr>
                  <w:tcW w:w="1961" w:type="dxa"/>
                  <w:tcBorders>
                    <w:top w:val="nil"/>
                    <w:left w:val="nil"/>
                    <w:bottom w:val="nil"/>
                    <w:right w:val="nil"/>
                  </w:tcBorders>
                  <w:shd w:val="clear" w:color="auto" w:fill="auto"/>
                </w:tcPr>
                <w:p w14:paraId="3BEB5DA1" w14:textId="77777777" w:rsidR="008C20D8" w:rsidRPr="00B67D7C" w:rsidRDefault="008C20D8" w:rsidP="002C32BB">
                  <w:pPr>
                    <w:spacing w:after="0" w:line="240" w:lineRule="auto"/>
                    <w:rPr>
                      <w:rFonts w:ascii="Arial" w:hAnsi="Arial" w:cs="Arial"/>
                      <w:color w:val="000000"/>
                      <w:sz w:val="18"/>
                      <w:szCs w:val="18"/>
                    </w:rPr>
                  </w:pPr>
                  <w:r w:rsidRPr="00B67D7C">
                    <w:rPr>
                      <w:rFonts w:ascii="Arial" w:hAnsi="Arial" w:cs="Arial"/>
                      <w:color w:val="000000"/>
                      <w:sz w:val="18"/>
                      <w:szCs w:val="18"/>
                    </w:rPr>
                    <w:t>Bloomberg US Treasury Long</w:t>
                  </w:r>
                </w:p>
              </w:tc>
              <w:tc>
                <w:tcPr>
                  <w:tcW w:w="6883" w:type="dxa"/>
                  <w:tcBorders>
                    <w:top w:val="nil"/>
                    <w:left w:val="nil"/>
                    <w:bottom w:val="nil"/>
                    <w:right w:val="nil"/>
                  </w:tcBorders>
                  <w:shd w:val="clear" w:color="auto" w:fill="auto"/>
                </w:tcPr>
                <w:p w14:paraId="4F73ADAC" w14:textId="77777777" w:rsidR="008C20D8" w:rsidRPr="004561AF" w:rsidRDefault="008C20D8" w:rsidP="002C32BB">
                  <w:pPr>
                    <w:spacing w:after="0" w:line="240" w:lineRule="auto"/>
                    <w:rPr>
                      <w:rFonts w:ascii="Arial" w:hAnsi="Arial" w:cs="Arial"/>
                      <w:color w:val="000000"/>
                      <w:sz w:val="18"/>
                      <w:szCs w:val="20"/>
                    </w:rPr>
                  </w:pPr>
                  <w:r w:rsidRPr="004561AF">
                    <w:rPr>
                      <w:rFonts w:ascii="Arial" w:hAnsi="Arial" w:cs="Arial"/>
                      <w:color w:val="000000"/>
                      <w:sz w:val="18"/>
                      <w:szCs w:val="20"/>
                    </w:rPr>
                    <w:t>measures the performance of long-term US Treasury bonds, including all publicly issued securities that have a remaining maturity of ten or more years, are: non-convertible, denominated in US dollars, rated investment-grade, fixed-rate and have $250 or more of outstanding face value.</w:t>
                  </w:r>
                </w:p>
                <w:p w14:paraId="23DA8491" w14:textId="77777777" w:rsidR="008C20D8" w:rsidRPr="006C208B" w:rsidRDefault="008C20D8" w:rsidP="002C32BB">
                  <w:pPr>
                    <w:spacing w:after="0" w:line="240" w:lineRule="auto"/>
                    <w:rPr>
                      <w:rFonts w:ascii="Arial" w:hAnsi="Arial" w:cs="Arial"/>
                      <w:color w:val="000000"/>
                      <w:sz w:val="18"/>
                      <w:szCs w:val="18"/>
                      <w:highlight w:val="yellow"/>
                    </w:rPr>
                  </w:pPr>
                </w:p>
              </w:tc>
            </w:tr>
            <w:tr w:rsidR="008C20D8" w:rsidRPr="007A7BDF" w14:paraId="750C6ECF" w14:textId="77777777" w:rsidTr="002C32BB">
              <w:trPr>
                <w:trHeight w:val="698"/>
              </w:trPr>
              <w:tc>
                <w:tcPr>
                  <w:tcW w:w="1502" w:type="dxa"/>
                  <w:tcBorders>
                    <w:top w:val="nil"/>
                    <w:left w:val="nil"/>
                    <w:bottom w:val="nil"/>
                    <w:right w:val="nil"/>
                  </w:tcBorders>
                  <w:shd w:val="clear" w:color="auto" w:fill="auto"/>
                </w:tcPr>
                <w:p w14:paraId="091F21A5" w14:textId="77777777" w:rsidR="008C20D8" w:rsidRPr="007A7BDF" w:rsidRDefault="008C20D8" w:rsidP="002C32BB">
                  <w:pPr>
                    <w:spacing w:after="0" w:line="240" w:lineRule="auto"/>
                    <w:rPr>
                      <w:rFonts w:ascii="Arial" w:hAnsi="Arial" w:cs="Arial"/>
                      <w:color w:val="000000"/>
                      <w:sz w:val="18"/>
                      <w:szCs w:val="18"/>
                    </w:rPr>
                  </w:pPr>
                  <w:r w:rsidRPr="007A7BDF">
                    <w:rPr>
                      <w:rFonts w:ascii="Arial" w:hAnsi="Arial" w:cs="Arial"/>
                      <w:color w:val="000000"/>
                      <w:sz w:val="18"/>
                      <w:szCs w:val="18"/>
                    </w:rPr>
                    <w:t>US Investment Grade Credit</w:t>
                  </w:r>
                </w:p>
              </w:tc>
              <w:tc>
                <w:tcPr>
                  <w:tcW w:w="1961" w:type="dxa"/>
                  <w:tcBorders>
                    <w:top w:val="nil"/>
                    <w:left w:val="nil"/>
                    <w:bottom w:val="nil"/>
                    <w:right w:val="nil"/>
                  </w:tcBorders>
                  <w:shd w:val="clear" w:color="auto" w:fill="auto"/>
                </w:tcPr>
                <w:p w14:paraId="0A5A70A4" w14:textId="77777777" w:rsidR="008C20D8" w:rsidRPr="007A7BDF" w:rsidRDefault="008C20D8" w:rsidP="002C32BB">
                  <w:pPr>
                    <w:spacing w:after="0" w:line="240" w:lineRule="auto"/>
                    <w:rPr>
                      <w:rFonts w:ascii="Arial" w:hAnsi="Arial" w:cs="Arial"/>
                      <w:color w:val="000000"/>
                      <w:sz w:val="18"/>
                      <w:szCs w:val="18"/>
                    </w:rPr>
                  </w:pPr>
                  <w:r w:rsidRPr="007A7BDF">
                    <w:rPr>
                      <w:rFonts w:ascii="Arial" w:hAnsi="Arial" w:cs="Arial"/>
                      <w:color w:val="000000"/>
                      <w:sz w:val="18"/>
                      <w:szCs w:val="18"/>
                    </w:rPr>
                    <w:t xml:space="preserve">Bloomberg Barclays US Corporate </w:t>
                  </w:r>
                </w:p>
              </w:tc>
              <w:tc>
                <w:tcPr>
                  <w:tcW w:w="6883" w:type="dxa"/>
                  <w:tcBorders>
                    <w:top w:val="nil"/>
                    <w:left w:val="nil"/>
                    <w:bottom w:val="nil"/>
                    <w:right w:val="nil"/>
                  </w:tcBorders>
                  <w:shd w:val="clear" w:color="auto" w:fill="auto"/>
                </w:tcPr>
                <w:p w14:paraId="4A9FF1CF" w14:textId="77777777" w:rsidR="008C20D8" w:rsidRPr="007A7BDF" w:rsidRDefault="008C20D8" w:rsidP="002C32BB">
                  <w:pPr>
                    <w:spacing w:after="0" w:line="240" w:lineRule="auto"/>
                    <w:rPr>
                      <w:rFonts w:ascii="Arial" w:hAnsi="Arial" w:cs="Arial"/>
                      <w:color w:val="000000"/>
                      <w:sz w:val="18"/>
                      <w:szCs w:val="20"/>
                    </w:rPr>
                  </w:pPr>
                  <w:r w:rsidRPr="007A7BDF">
                    <w:rPr>
                      <w:rFonts w:ascii="Arial" w:hAnsi="Arial" w:cs="Arial"/>
                      <w:color w:val="000000"/>
                      <w:sz w:val="18"/>
                      <w:szCs w:val="20"/>
                    </w:rPr>
                    <w:t xml:space="preserve">measures the performance of the investment-grade, fixed-rate, taxable corporate bond market. Includes USD-denominated securities publicly issued by US and non-US industrial, </w:t>
                  </w:r>
                  <w:proofErr w:type="gramStart"/>
                  <w:r w:rsidRPr="007A7BDF">
                    <w:rPr>
                      <w:rFonts w:ascii="Arial" w:hAnsi="Arial" w:cs="Arial"/>
                      <w:color w:val="000000"/>
                      <w:sz w:val="18"/>
                      <w:szCs w:val="20"/>
                    </w:rPr>
                    <w:t>utility</w:t>
                  </w:r>
                  <w:proofErr w:type="gramEnd"/>
                  <w:r w:rsidRPr="007A7BDF">
                    <w:rPr>
                      <w:rFonts w:ascii="Arial" w:hAnsi="Arial" w:cs="Arial"/>
                      <w:color w:val="000000"/>
                      <w:sz w:val="18"/>
                      <w:szCs w:val="20"/>
                    </w:rPr>
                    <w:t xml:space="preserve"> and financial issuers that meet specified maturity, liquidity and quality requirements.</w:t>
                  </w:r>
                </w:p>
              </w:tc>
            </w:tr>
            <w:tr w:rsidR="008C20D8" w:rsidRPr="00567CF8" w14:paraId="109738A9" w14:textId="77777777" w:rsidTr="002C32BB">
              <w:trPr>
                <w:trHeight w:val="698"/>
              </w:trPr>
              <w:tc>
                <w:tcPr>
                  <w:tcW w:w="1502" w:type="dxa"/>
                  <w:tcBorders>
                    <w:top w:val="nil"/>
                    <w:left w:val="nil"/>
                    <w:bottom w:val="nil"/>
                    <w:right w:val="nil"/>
                  </w:tcBorders>
                  <w:shd w:val="clear" w:color="auto" w:fill="auto"/>
                </w:tcPr>
                <w:p w14:paraId="7903E884" w14:textId="77777777" w:rsidR="008C20D8" w:rsidRDefault="008C20D8" w:rsidP="002C32BB">
                  <w:pPr>
                    <w:spacing w:after="0" w:line="240" w:lineRule="auto"/>
                    <w:rPr>
                      <w:rFonts w:ascii="Arial" w:hAnsi="Arial" w:cs="Arial"/>
                      <w:color w:val="000000"/>
                      <w:sz w:val="18"/>
                      <w:szCs w:val="18"/>
                    </w:rPr>
                  </w:pPr>
                </w:p>
                <w:p w14:paraId="25FC10C2" w14:textId="77777777" w:rsidR="008C20D8" w:rsidRPr="003127F9" w:rsidRDefault="008C20D8" w:rsidP="002C32BB">
                  <w:pPr>
                    <w:spacing w:after="0" w:line="240" w:lineRule="auto"/>
                    <w:rPr>
                      <w:rFonts w:ascii="Arial" w:hAnsi="Arial" w:cs="Arial"/>
                      <w:color w:val="000000"/>
                      <w:sz w:val="18"/>
                      <w:szCs w:val="18"/>
                    </w:rPr>
                  </w:pPr>
                  <w:r w:rsidRPr="003127F9">
                    <w:rPr>
                      <w:rFonts w:ascii="Arial" w:hAnsi="Arial" w:cs="Arial"/>
                      <w:color w:val="000000"/>
                      <w:sz w:val="18"/>
                      <w:szCs w:val="18"/>
                    </w:rPr>
                    <w:t>Emerging Markets Fixed Income</w:t>
                  </w:r>
                </w:p>
              </w:tc>
              <w:tc>
                <w:tcPr>
                  <w:tcW w:w="1961" w:type="dxa"/>
                  <w:tcBorders>
                    <w:top w:val="nil"/>
                    <w:left w:val="nil"/>
                    <w:bottom w:val="nil"/>
                    <w:right w:val="nil"/>
                  </w:tcBorders>
                  <w:shd w:val="clear" w:color="auto" w:fill="auto"/>
                </w:tcPr>
                <w:p w14:paraId="521B9F3E" w14:textId="77777777" w:rsidR="008C20D8" w:rsidRDefault="008C20D8" w:rsidP="002C32BB">
                  <w:pPr>
                    <w:spacing w:after="0" w:line="240" w:lineRule="auto"/>
                    <w:rPr>
                      <w:rFonts w:ascii="Arial" w:hAnsi="Arial" w:cs="Arial"/>
                      <w:color w:val="000000"/>
                      <w:sz w:val="18"/>
                      <w:szCs w:val="18"/>
                    </w:rPr>
                  </w:pPr>
                </w:p>
                <w:p w14:paraId="08B8F348" w14:textId="77777777" w:rsidR="008C20D8" w:rsidRPr="003127F9" w:rsidRDefault="008C20D8" w:rsidP="002C32BB">
                  <w:pPr>
                    <w:spacing w:after="0" w:line="240" w:lineRule="auto"/>
                    <w:rPr>
                      <w:rFonts w:ascii="Arial" w:hAnsi="Arial" w:cs="Arial"/>
                      <w:color w:val="000000"/>
                      <w:sz w:val="18"/>
                      <w:szCs w:val="18"/>
                    </w:rPr>
                  </w:pPr>
                  <w:r w:rsidRPr="00B67D7C">
                    <w:rPr>
                      <w:rFonts w:ascii="Arial" w:hAnsi="Arial" w:cs="Arial"/>
                      <w:color w:val="000000"/>
                      <w:sz w:val="18"/>
                      <w:szCs w:val="18"/>
                    </w:rPr>
                    <w:t>Bloomberg</w:t>
                  </w:r>
                  <w:r w:rsidRPr="003127F9">
                    <w:rPr>
                      <w:rFonts w:ascii="Arial" w:hAnsi="Arial" w:cs="Arial"/>
                      <w:color w:val="000000"/>
                      <w:sz w:val="18"/>
                      <w:szCs w:val="18"/>
                    </w:rPr>
                    <w:t xml:space="preserve"> Emerging Markets USD Aggregate</w:t>
                  </w:r>
                </w:p>
              </w:tc>
              <w:tc>
                <w:tcPr>
                  <w:tcW w:w="6883" w:type="dxa"/>
                  <w:tcBorders>
                    <w:top w:val="nil"/>
                    <w:left w:val="nil"/>
                    <w:bottom w:val="nil"/>
                    <w:right w:val="nil"/>
                  </w:tcBorders>
                  <w:shd w:val="clear" w:color="auto" w:fill="auto"/>
                </w:tcPr>
                <w:p w14:paraId="3A59B7E5" w14:textId="77777777" w:rsidR="008C20D8" w:rsidRDefault="008C20D8" w:rsidP="002C32BB">
                  <w:pPr>
                    <w:spacing w:after="0" w:line="240" w:lineRule="auto"/>
                    <w:rPr>
                      <w:rFonts w:ascii="Arial" w:hAnsi="Arial" w:cs="Arial"/>
                      <w:color w:val="000000"/>
                      <w:sz w:val="18"/>
                      <w:szCs w:val="18"/>
                    </w:rPr>
                  </w:pPr>
                </w:p>
                <w:p w14:paraId="1EF0A283"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hard-currency emerging markets debt including fixed and floating-rate USD-denominated debt issued from sovereign, quasi-sovereign, and corporate emerging markets debt.  </w:t>
                  </w:r>
                </w:p>
              </w:tc>
            </w:tr>
            <w:tr w:rsidR="008C20D8" w:rsidRPr="00567CF8" w14:paraId="45A298AC" w14:textId="77777777" w:rsidTr="002C32BB">
              <w:trPr>
                <w:trHeight w:val="698"/>
              </w:trPr>
              <w:tc>
                <w:tcPr>
                  <w:tcW w:w="1502" w:type="dxa"/>
                  <w:tcBorders>
                    <w:top w:val="nil"/>
                    <w:left w:val="nil"/>
                    <w:bottom w:val="nil"/>
                    <w:right w:val="nil"/>
                  </w:tcBorders>
                  <w:shd w:val="clear" w:color="auto" w:fill="auto"/>
                </w:tcPr>
                <w:p w14:paraId="1465604C" w14:textId="77777777" w:rsidR="008C20D8" w:rsidRPr="002F025B" w:rsidRDefault="008C20D8" w:rsidP="002C32BB">
                  <w:pPr>
                    <w:spacing w:after="0" w:line="240" w:lineRule="auto"/>
                    <w:rPr>
                      <w:rFonts w:ascii="Arial" w:hAnsi="Arial" w:cs="Arial"/>
                      <w:color w:val="000000"/>
                      <w:sz w:val="18"/>
                      <w:szCs w:val="18"/>
                    </w:rPr>
                  </w:pPr>
                </w:p>
                <w:p w14:paraId="102C003B" w14:textId="77777777" w:rsidR="008C20D8" w:rsidRPr="002F025B" w:rsidRDefault="008C20D8" w:rsidP="002C32BB">
                  <w:pPr>
                    <w:spacing w:after="0" w:line="240" w:lineRule="auto"/>
                    <w:rPr>
                      <w:rFonts w:ascii="Arial" w:hAnsi="Arial" w:cs="Arial"/>
                      <w:color w:val="000000"/>
                      <w:sz w:val="18"/>
                      <w:szCs w:val="18"/>
                    </w:rPr>
                  </w:pPr>
                  <w:r w:rsidRPr="002F025B">
                    <w:rPr>
                      <w:rFonts w:ascii="Arial" w:hAnsi="Arial" w:cs="Arial"/>
                      <w:color w:val="000000"/>
                      <w:sz w:val="18"/>
                      <w:szCs w:val="18"/>
                    </w:rPr>
                    <w:t>International Fixed Income</w:t>
                  </w:r>
                </w:p>
              </w:tc>
              <w:tc>
                <w:tcPr>
                  <w:tcW w:w="1961" w:type="dxa"/>
                  <w:tcBorders>
                    <w:top w:val="nil"/>
                    <w:left w:val="nil"/>
                    <w:bottom w:val="nil"/>
                    <w:right w:val="nil"/>
                  </w:tcBorders>
                  <w:shd w:val="clear" w:color="auto" w:fill="auto"/>
                </w:tcPr>
                <w:p w14:paraId="031188E4" w14:textId="77777777" w:rsidR="008C20D8" w:rsidRPr="002F025B" w:rsidRDefault="008C20D8" w:rsidP="002C32BB">
                  <w:pPr>
                    <w:spacing w:after="0" w:line="240" w:lineRule="auto"/>
                    <w:rPr>
                      <w:rFonts w:ascii="Arial" w:hAnsi="Arial" w:cs="Arial"/>
                      <w:color w:val="000000"/>
                      <w:sz w:val="18"/>
                      <w:szCs w:val="18"/>
                    </w:rPr>
                  </w:pPr>
                </w:p>
                <w:p w14:paraId="52BD41CF" w14:textId="77777777" w:rsidR="008C20D8" w:rsidRPr="002F025B" w:rsidRDefault="008C20D8" w:rsidP="002C32BB">
                  <w:pPr>
                    <w:spacing w:after="0" w:line="240" w:lineRule="auto"/>
                    <w:rPr>
                      <w:rFonts w:ascii="Arial" w:hAnsi="Arial" w:cs="Arial"/>
                      <w:color w:val="000000"/>
                      <w:sz w:val="18"/>
                      <w:szCs w:val="18"/>
                    </w:rPr>
                  </w:pPr>
                  <w:r w:rsidRPr="002F025B">
                    <w:rPr>
                      <w:rFonts w:ascii="Arial" w:hAnsi="Arial" w:cs="Arial"/>
                      <w:color w:val="000000"/>
                      <w:sz w:val="18"/>
                      <w:szCs w:val="18"/>
                    </w:rPr>
                    <w:t>Bloomberg Global Aggregate ex-USD</w:t>
                  </w:r>
                </w:p>
              </w:tc>
              <w:tc>
                <w:tcPr>
                  <w:tcW w:w="6883" w:type="dxa"/>
                  <w:tcBorders>
                    <w:top w:val="nil"/>
                    <w:left w:val="nil"/>
                    <w:bottom w:val="nil"/>
                    <w:right w:val="nil"/>
                  </w:tcBorders>
                  <w:shd w:val="clear" w:color="auto" w:fill="auto"/>
                </w:tcPr>
                <w:p w14:paraId="419277C5" w14:textId="77777777" w:rsidR="008C20D8" w:rsidRPr="002F025B" w:rsidRDefault="008C20D8" w:rsidP="002C32BB">
                  <w:pPr>
                    <w:spacing w:after="0" w:line="240" w:lineRule="auto"/>
                    <w:rPr>
                      <w:rFonts w:ascii="Arial" w:hAnsi="Arial" w:cs="Arial"/>
                      <w:color w:val="000000"/>
                      <w:sz w:val="18"/>
                      <w:szCs w:val="18"/>
                    </w:rPr>
                  </w:pPr>
                </w:p>
                <w:p w14:paraId="2B099BAE" w14:textId="77777777" w:rsidR="008C20D8" w:rsidRPr="002F025B" w:rsidRDefault="008C20D8" w:rsidP="002C32BB">
                  <w:pPr>
                    <w:spacing w:after="0" w:line="240" w:lineRule="auto"/>
                    <w:rPr>
                      <w:rFonts w:ascii="Arial" w:hAnsi="Arial" w:cs="Arial"/>
                      <w:color w:val="000000"/>
                      <w:sz w:val="18"/>
                      <w:szCs w:val="18"/>
                    </w:rPr>
                  </w:pPr>
                  <w:r w:rsidRPr="002F025B">
                    <w:rPr>
                      <w:rFonts w:ascii="Arial" w:hAnsi="Arial" w:cs="Arial"/>
                      <w:color w:val="000000"/>
                      <w:sz w:val="18"/>
                      <w:szCs w:val="18"/>
                    </w:rPr>
                    <w:t xml:space="preserve">measures the performance of investment-grade debt from 24 local currency markets.  This multi-currency index includes treasury, government-related, </w:t>
                  </w:r>
                  <w:proofErr w:type="gramStart"/>
                  <w:r w:rsidRPr="002F025B">
                    <w:rPr>
                      <w:rFonts w:ascii="Arial" w:hAnsi="Arial" w:cs="Arial"/>
                      <w:color w:val="000000"/>
                      <w:sz w:val="18"/>
                      <w:szCs w:val="18"/>
                    </w:rPr>
                    <w:t>corporate</w:t>
                  </w:r>
                  <w:proofErr w:type="gramEnd"/>
                  <w:r w:rsidRPr="002F025B">
                    <w:rPr>
                      <w:rFonts w:ascii="Arial" w:hAnsi="Arial" w:cs="Arial"/>
                      <w:color w:val="000000"/>
                      <w:sz w:val="18"/>
                      <w:szCs w:val="18"/>
                    </w:rPr>
                    <w:t xml:space="preserve"> and securitized fixed-rate bonds from both developed and emerging markets issuers.  It excludes bonds issued in USD.</w:t>
                  </w:r>
                </w:p>
                <w:p w14:paraId="2AA63742" w14:textId="77777777" w:rsidR="008C20D8" w:rsidRPr="002F025B" w:rsidRDefault="008C20D8" w:rsidP="002C32BB">
                  <w:pPr>
                    <w:spacing w:after="0" w:line="240" w:lineRule="auto"/>
                    <w:rPr>
                      <w:rFonts w:ascii="Arial" w:hAnsi="Arial" w:cs="Arial"/>
                      <w:color w:val="000000"/>
                      <w:sz w:val="18"/>
                      <w:szCs w:val="18"/>
                    </w:rPr>
                  </w:pPr>
                </w:p>
              </w:tc>
            </w:tr>
            <w:tr w:rsidR="008C20D8" w:rsidRPr="00567CF8" w14:paraId="7DB5A235" w14:textId="77777777" w:rsidTr="002C32BB">
              <w:trPr>
                <w:trHeight w:val="698"/>
              </w:trPr>
              <w:tc>
                <w:tcPr>
                  <w:tcW w:w="1502" w:type="dxa"/>
                  <w:tcBorders>
                    <w:top w:val="nil"/>
                    <w:left w:val="nil"/>
                    <w:bottom w:val="nil"/>
                    <w:right w:val="nil"/>
                  </w:tcBorders>
                  <w:shd w:val="clear" w:color="auto" w:fill="auto"/>
                </w:tcPr>
                <w:p w14:paraId="09C7D315" w14:textId="77777777" w:rsidR="008C20D8" w:rsidRDefault="008C20D8" w:rsidP="002C32BB">
                  <w:pPr>
                    <w:spacing w:after="0" w:line="240" w:lineRule="auto"/>
                    <w:rPr>
                      <w:rFonts w:ascii="Arial" w:hAnsi="Arial" w:cs="Arial"/>
                      <w:sz w:val="18"/>
                      <w:szCs w:val="18"/>
                    </w:rPr>
                  </w:pPr>
                  <w:r w:rsidRPr="002F025B">
                    <w:rPr>
                      <w:rFonts w:ascii="Arial" w:hAnsi="Arial" w:cs="Arial"/>
                      <w:sz w:val="18"/>
                      <w:szCs w:val="18"/>
                    </w:rPr>
                    <w:t>Emerging Markets Fixed Income</w:t>
                  </w:r>
                </w:p>
                <w:p w14:paraId="51F982E0" w14:textId="77777777" w:rsidR="008C20D8" w:rsidRDefault="008C20D8" w:rsidP="002C32BB">
                  <w:pPr>
                    <w:spacing w:after="0" w:line="240" w:lineRule="auto"/>
                    <w:rPr>
                      <w:rFonts w:ascii="Arial" w:hAnsi="Arial" w:cs="Arial"/>
                      <w:sz w:val="18"/>
                      <w:szCs w:val="18"/>
                    </w:rPr>
                  </w:pPr>
                </w:p>
                <w:p w14:paraId="6C1EB8B1" w14:textId="77777777" w:rsidR="008C20D8" w:rsidRPr="002F025B" w:rsidRDefault="008C20D8" w:rsidP="002C32BB">
                  <w:pPr>
                    <w:spacing w:after="0" w:line="240" w:lineRule="auto"/>
                    <w:rPr>
                      <w:rFonts w:ascii="Arial" w:hAnsi="Arial" w:cs="Arial"/>
                      <w:color w:val="000000"/>
                      <w:sz w:val="18"/>
                      <w:szCs w:val="18"/>
                      <w:highlight w:val="yellow"/>
                    </w:rPr>
                  </w:pPr>
                </w:p>
              </w:tc>
              <w:tc>
                <w:tcPr>
                  <w:tcW w:w="1961" w:type="dxa"/>
                  <w:tcBorders>
                    <w:top w:val="nil"/>
                    <w:left w:val="nil"/>
                    <w:bottom w:val="nil"/>
                    <w:right w:val="nil"/>
                  </w:tcBorders>
                  <w:shd w:val="clear" w:color="auto" w:fill="auto"/>
                </w:tcPr>
                <w:p w14:paraId="71A05F06" w14:textId="77777777" w:rsidR="008C20D8" w:rsidRPr="002F025B" w:rsidRDefault="008C20D8" w:rsidP="002C32BB">
                  <w:pPr>
                    <w:spacing w:after="0" w:line="240" w:lineRule="auto"/>
                    <w:rPr>
                      <w:rFonts w:ascii="Arial" w:hAnsi="Arial" w:cs="Arial"/>
                      <w:color w:val="000000"/>
                      <w:sz w:val="18"/>
                      <w:szCs w:val="18"/>
                      <w:highlight w:val="yellow"/>
                    </w:rPr>
                  </w:pPr>
                  <w:r w:rsidRPr="002F025B">
                    <w:rPr>
                      <w:rFonts w:ascii="Arial" w:hAnsi="Arial" w:cs="Arial"/>
                      <w:sz w:val="18"/>
                      <w:szCs w:val="18"/>
                    </w:rPr>
                    <w:t>Barclays Emerging Markets Local Currency Government</w:t>
                  </w:r>
                </w:p>
              </w:tc>
              <w:tc>
                <w:tcPr>
                  <w:tcW w:w="6883" w:type="dxa"/>
                  <w:tcBorders>
                    <w:top w:val="nil"/>
                    <w:left w:val="nil"/>
                    <w:bottom w:val="nil"/>
                    <w:right w:val="nil"/>
                  </w:tcBorders>
                  <w:shd w:val="clear" w:color="auto" w:fill="auto"/>
                </w:tcPr>
                <w:p w14:paraId="306A6BC8" w14:textId="77777777" w:rsidR="008C20D8" w:rsidRPr="002F025B" w:rsidRDefault="008C20D8" w:rsidP="002C32BB">
                  <w:pPr>
                    <w:spacing w:after="0" w:line="240" w:lineRule="auto"/>
                    <w:rPr>
                      <w:rFonts w:ascii="Arial" w:hAnsi="Arial" w:cs="Arial"/>
                      <w:sz w:val="18"/>
                      <w:szCs w:val="18"/>
                    </w:rPr>
                  </w:pPr>
                  <w:r w:rsidRPr="002F025B">
                    <w:rPr>
                      <w:rFonts w:ascii="Arial" w:hAnsi="Arial" w:cs="Arial"/>
                      <w:sz w:val="18"/>
                      <w:szCs w:val="18"/>
                    </w:rPr>
                    <w:t xml:space="preserve">Measures the performance of local currency emerging markets debt.  </w:t>
                  </w:r>
                </w:p>
              </w:tc>
            </w:tr>
            <w:tr w:rsidR="008C20D8" w:rsidRPr="00567CF8" w14:paraId="47D584E3" w14:textId="77777777" w:rsidTr="002C32BB">
              <w:trPr>
                <w:trHeight w:val="480"/>
              </w:trPr>
              <w:tc>
                <w:tcPr>
                  <w:tcW w:w="1502" w:type="dxa"/>
                  <w:tcBorders>
                    <w:top w:val="nil"/>
                    <w:left w:val="nil"/>
                    <w:bottom w:val="nil"/>
                    <w:right w:val="nil"/>
                  </w:tcBorders>
                  <w:shd w:val="clear" w:color="auto" w:fill="auto"/>
                </w:tcPr>
                <w:p w14:paraId="3C1CC131" w14:textId="77777777" w:rsidR="008C20D8" w:rsidRPr="002F025B" w:rsidRDefault="008C20D8" w:rsidP="002C32BB">
                  <w:pPr>
                    <w:spacing w:after="0" w:line="240" w:lineRule="auto"/>
                    <w:rPr>
                      <w:rFonts w:ascii="Arial" w:hAnsi="Arial" w:cs="Arial"/>
                      <w:color w:val="000000"/>
                      <w:sz w:val="18"/>
                      <w:szCs w:val="18"/>
                    </w:rPr>
                  </w:pPr>
                  <w:r w:rsidRPr="002F025B">
                    <w:rPr>
                      <w:rFonts w:ascii="Arial" w:hAnsi="Arial" w:cs="Arial"/>
                      <w:color w:val="000000"/>
                      <w:sz w:val="18"/>
                      <w:szCs w:val="18"/>
                    </w:rPr>
                    <w:t>Commodities</w:t>
                  </w:r>
                </w:p>
              </w:tc>
              <w:tc>
                <w:tcPr>
                  <w:tcW w:w="1961" w:type="dxa"/>
                  <w:tcBorders>
                    <w:top w:val="nil"/>
                    <w:left w:val="nil"/>
                    <w:bottom w:val="nil"/>
                    <w:right w:val="nil"/>
                  </w:tcBorders>
                  <w:shd w:val="clear" w:color="auto" w:fill="auto"/>
                </w:tcPr>
                <w:p w14:paraId="362C4B0B" w14:textId="77777777" w:rsidR="008C20D8" w:rsidRPr="002F025B" w:rsidRDefault="008C20D8" w:rsidP="002C32BB">
                  <w:pPr>
                    <w:spacing w:after="0" w:line="240" w:lineRule="auto"/>
                    <w:rPr>
                      <w:rFonts w:ascii="Arial" w:hAnsi="Arial" w:cs="Arial"/>
                      <w:color w:val="000000"/>
                      <w:sz w:val="18"/>
                      <w:szCs w:val="18"/>
                    </w:rPr>
                  </w:pPr>
                  <w:r w:rsidRPr="002F025B">
                    <w:rPr>
                      <w:rFonts w:ascii="Arial" w:hAnsi="Arial" w:cs="Arial"/>
                      <w:color w:val="000000"/>
                      <w:sz w:val="18"/>
                      <w:szCs w:val="18"/>
                    </w:rPr>
                    <w:t xml:space="preserve">Bloomberg Commodity </w:t>
                  </w:r>
                </w:p>
              </w:tc>
              <w:tc>
                <w:tcPr>
                  <w:tcW w:w="6883" w:type="dxa"/>
                  <w:tcBorders>
                    <w:top w:val="nil"/>
                    <w:left w:val="nil"/>
                    <w:bottom w:val="nil"/>
                    <w:right w:val="nil"/>
                  </w:tcBorders>
                  <w:shd w:val="clear" w:color="auto" w:fill="auto"/>
                </w:tcPr>
                <w:p w14:paraId="5C47C175" w14:textId="77777777" w:rsidR="008C20D8" w:rsidRPr="002F025B" w:rsidRDefault="008C20D8" w:rsidP="002C32BB">
                  <w:pPr>
                    <w:spacing w:after="0" w:line="240" w:lineRule="auto"/>
                    <w:rPr>
                      <w:rFonts w:ascii="Arial" w:hAnsi="Arial" w:cs="Arial"/>
                      <w:color w:val="000000"/>
                      <w:sz w:val="18"/>
                      <w:szCs w:val="18"/>
                    </w:rPr>
                  </w:pPr>
                  <w:r w:rsidRPr="002F025B">
                    <w:rPr>
                      <w:rFonts w:ascii="Arial" w:hAnsi="Arial" w:cs="Arial"/>
                      <w:color w:val="000000"/>
                      <w:sz w:val="18"/>
                      <w:szCs w:val="18"/>
                    </w:rPr>
                    <w:t xml:space="preserve">Measures the performance of a broadly diversified exposure to physical commodities via futures contracts.  </w:t>
                  </w:r>
                </w:p>
              </w:tc>
            </w:tr>
            <w:tr w:rsidR="008C20D8" w:rsidRPr="00567CF8" w14:paraId="6D5BEEFF" w14:textId="77777777" w:rsidTr="002C32BB">
              <w:trPr>
                <w:trHeight w:val="400"/>
              </w:trPr>
              <w:tc>
                <w:tcPr>
                  <w:tcW w:w="1502" w:type="dxa"/>
                  <w:tcBorders>
                    <w:top w:val="nil"/>
                    <w:left w:val="nil"/>
                    <w:bottom w:val="nil"/>
                    <w:right w:val="nil"/>
                  </w:tcBorders>
                  <w:shd w:val="clear" w:color="auto" w:fill="auto"/>
                </w:tcPr>
                <w:p w14:paraId="6557DB12"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Gold</w:t>
                  </w:r>
                </w:p>
              </w:tc>
              <w:tc>
                <w:tcPr>
                  <w:tcW w:w="1961" w:type="dxa"/>
                  <w:tcBorders>
                    <w:top w:val="nil"/>
                    <w:left w:val="nil"/>
                    <w:bottom w:val="nil"/>
                    <w:right w:val="nil"/>
                  </w:tcBorders>
                  <w:shd w:val="clear" w:color="auto" w:fill="auto"/>
                </w:tcPr>
                <w:p w14:paraId="767C1CE0"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Bloomberg Sub Gold</w:t>
                  </w:r>
                </w:p>
              </w:tc>
              <w:tc>
                <w:tcPr>
                  <w:tcW w:w="6883" w:type="dxa"/>
                  <w:tcBorders>
                    <w:top w:val="nil"/>
                    <w:left w:val="nil"/>
                    <w:bottom w:val="nil"/>
                    <w:right w:val="nil"/>
                  </w:tcBorders>
                  <w:shd w:val="clear" w:color="auto" w:fill="auto"/>
                </w:tcPr>
                <w:p w14:paraId="126CA754"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measures the performance of futures contract on Gold and is quoted in USD.</w:t>
                  </w:r>
                </w:p>
              </w:tc>
            </w:tr>
            <w:tr w:rsidR="008C20D8" w:rsidRPr="007A7BDF" w14:paraId="2105EA33" w14:textId="77777777" w:rsidTr="002C32BB">
              <w:trPr>
                <w:trHeight w:val="400"/>
              </w:trPr>
              <w:tc>
                <w:tcPr>
                  <w:tcW w:w="1502" w:type="dxa"/>
                  <w:tcBorders>
                    <w:top w:val="nil"/>
                    <w:left w:val="nil"/>
                    <w:bottom w:val="nil"/>
                    <w:right w:val="nil"/>
                  </w:tcBorders>
                  <w:shd w:val="clear" w:color="auto" w:fill="auto"/>
                </w:tcPr>
                <w:p w14:paraId="7AEC904A" w14:textId="77777777" w:rsidR="008C20D8" w:rsidRPr="007A7BDF" w:rsidRDefault="008C20D8" w:rsidP="002C32BB">
                  <w:pPr>
                    <w:spacing w:after="0" w:line="240" w:lineRule="auto"/>
                    <w:rPr>
                      <w:rFonts w:ascii="Arial" w:hAnsi="Arial" w:cs="Arial"/>
                      <w:color w:val="000000"/>
                      <w:sz w:val="18"/>
                      <w:szCs w:val="18"/>
                    </w:rPr>
                  </w:pPr>
                  <w:r w:rsidRPr="007A7BDF">
                    <w:rPr>
                      <w:rFonts w:ascii="Arial" w:hAnsi="Arial" w:cs="Arial"/>
                      <w:color w:val="000000"/>
                      <w:sz w:val="18"/>
                      <w:szCs w:val="18"/>
                    </w:rPr>
                    <w:t>Silver</w:t>
                  </w:r>
                </w:p>
              </w:tc>
              <w:tc>
                <w:tcPr>
                  <w:tcW w:w="1961" w:type="dxa"/>
                  <w:tcBorders>
                    <w:top w:val="nil"/>
                    <w:left w:val="nil"/>
                    <w:bottom w:val="nil"/>
                    <w:right w:val="nil"/>
                  </w:tcBorders>
                  <w:shd w:val="clear" w:color="auto" w:fill="auto"/>
                </w:tcPr>
                <w:p w14:paraId="60685733" w14:textId="77777777" w:rsidR="008C20D8" w:rsidRPr="007A7BDF" w:rsidRDefault="008C20D8" w:rsidP="002C32BB">
                  <w:pPr>
                    <w:spacing w:after="0" w:line="240" w:lineRule="auto"/>
                    <w:rPr>
                      <w:rFonts w:ascii="Arial" w:hAnsi="Arial" w:cs="Arial"/>
                      <w:color w:val="000000"/>
                      <w:sz w:val="18"/>
                      <w:szCs w:val="18"/>
                    </w:rPr>
                  </w:pPr>
                  <w:r w:rsidRPr="007A7BDF">
                    <w:rPr>
                      <w:rFonts w:ascii="Arial" w:hAnsi="Arial" w:cs="Arial"/>
                      <w:color w:val="000000"/>
                      <w:sz w:val="18"/>
                      <w:szCs w:val="18"/>
                    </w:rPr>
                    <w:t>Bloomberg Silver Sub-index</w:t>
                  </w:r>
                </w:p>
              </w:tc>
              <w:tc>
                <w:tcPr>
                  <w:tcW w:w="6883" w:type="dxa"/>
                  <w:tcBorders>
                    <w:top w:val="nil"/>
                    <w:left w:val="nil"/>
                    <w:bottom w:val="nil"/>
                    <w:right w:val="nil"/>
                  </w:tcBorders>
                  <w:shd w:val="clear" w:color="auto" w:fill="auto"/>
                </w:tcPr>
                <w:p w14:paraId="1DE62429" w14:textId="77777777" w:rsidR="008C20D8" w:rsidRPr="007A7BDF" w:rsidRDefault="008C20D8" w:rsidP="002C32BB">
                  <w:pPr>
                    <w:spacing w:after="0" w:line="240" w:lineRule="auto"/>
                    <w:rPr>
                      <w:rFonts w:ascii="Arial" w:hAnsi="Arial" w:cs="Arial"/>
                      <w:color w:val="000000"/>
                      <w:sz w:val="18"/>
                      <w:szCs w:val="18"/>
                    </w:rPr>
                  </w:pPr>
                  <w:r w:rsidRPr="007A7BDF">
                    <w:rPr>
                      <w:rFonts w:ascii="Arial" w:hAnsi="Arial" w:cs="Arial"/>
                      <w:color w:val="000000"/>
                      <w:sz w:val="18"/>
                      <w:szCs w:val="18"/>
                    </w:rPr>
                    <w:t xml:space="preserve">is designed to measure the performance of silver as represented by the price of COMEX silver futures contracts. </w:t>
                  </w:r>
                </w:p>
              </w:tc>
            </w:tr>
            <w:tr w:rsidR="008C20D8" w:rsidRPr="007A7BDF" w14:paraId="5B6C1B8E" w14:textId="77777777" w:rsidTr="002C32BB">
              <w:trPr>
                <w:trHeight w:val="400"/>
              </w:trPr>
              <w:tc>
                <w:tcPr>
                  <w:tcW w:w="1502" w:type="dxa"/>
                  <w:tcBorders>
                    <w:top w:val="nil"/>
                    <w:left w:val="nil"/>
                    <w:bottom w:val="nil"/>
                    <w:right w:val="nil"/>
                  </w:tcBorders>
                  <w:shd w:val="clear" w:color="auto" w:fill="auto"/>
                </w:tcPr>
                <w:p w14:paraId="7AF66DEE"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sz w:val="18"/>
                      <w:szCs w:val="18"/>
                    </w:rPr>
                    <w:t>Oil</w:t>
                  </w:r>
                </w:p>
              </w:tc>
              <w:tc>
                <w:tcPr>
                  <w:tcW w:w="1961" w:type="dxa"/>
                  <w:tcBorders>
                    <w:top w:val="nil"/>
                    <w:left w:val="nil"/>
                    <w:bottom w:val="nil"/>
                    <w:right w:val="nil"/>
                  </w:tcBorders>
                  <w:shd w:val="clear" w:color="auto" w:fill="auto"/>
                </w:tcPr>
                <w:p w14:paraId="5AE447A2"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sz w:val="18"/>
                      <w:szCs w:val="18"/>
                    </w:rPr>
                    <w:t>WTI Crude Oil</w:t>
                  </w:r>
                </w:p>
              </w:tc>
              <w:tc>
                <w:tcPr>
                  <w:tcW w:w="6883" w:type="dxa"/>
                  <w:tcBorders>
                    <w:top w:val="nil"/>
                    <w:left w:val="nil"/>
                    <w:bottom w:val="nil"/>
                    <w:right w:val="nil"/>
                  </w:tcBorders>
                  <w:shd w:val="clear" w:color="auto" w:fill="auto"/>
                </w:tcPr>
                <w:p w14:paraId="029CFB94"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sz w:val="18"/>
                      <w:szCs w:val="18"/>
                    </w:rPr>
                    <w:t xml:space="preserve">is represented by the near month crude oil futures contract traded on the NYMEX. </w:t>
                  </w:r>
                </w:p>
              </w:tc>
            </w:tr>
            <w:tr w:rsidR="008C20D8" w:rsidRPr="00567CF8" w14:paraId="3AF1464F" w14:textId="77777777" w:rsidTr="002C32BB">
              <w:trPr>
                <w:trHeight w:val="909"/>
              </w:trPr>
              <w:tc>
                <w:tcPr>
                  <w:tcW w:w="1502" w:type="dxa"/>
                  <w:tcBorders>
                    <w:top w:val="nil"/>
                    <w:left w:val="nil"/>
                    <w:bottom w:val="nil"/>
                    <w:right w:val="nil"/>
                  </w:tcBorders>
                  <w:shd w:val="clear" w:color="auto" w:fill="auto"/>
                </w:tcPr>
                <w:p w14:paraId="5D69F8AB" w14:textId="77777777" w:rsidR="008C20D8" w:rsidRPr="008F3C1E" w:rsidRDefault="008C20D8" w:rsidP="002C32BB">
                  <w:pPr>
                    <w:spacing w:after="0" w:line="240" w:lineRule="auto"/>
                    <w:rPr>
                      <w:rFonts w:ascii="Arial" w:hAnsi="Arial" w:cs="Arial"/>
                      <w:color w:val="000000"/>
                      <w:sz w:val="18"/>
                      <w:szCs w:val="18"/>
                    </w:rPr>
                  </w:pPr>
                </w:p>
                <w:p w14:paraId="4575A00C"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US REIT</w:t>
                  </w:r>
                </w:p>
              </w:tc>
              <w:tc>
                <w:tcPr>
                  <w:tcW w:w="1961" w:type="dxa"/>
                  <w:tcBorders>
                    <w:top w:val="nil"/>
                    <w:left w:val="nil"/>
                    <w:bottom w:val="nil"/>
                    <w:right w:val="nil"/>
                  </w:tcBorders>
                  <w:shd w:val="clear" w:color="auto" w:fill="auto"/>
                </w:tcPr>
                <w:p w14:paraId="4C89C3BA" w14:textId="77777777" w:rsidR="008C20D8" w:rsidRPr="008F3C1E" w:rsidRDefault="008C20D8" w:rsidP="002C32BB">
                  <w:pPr>
                    <w:spacing w:after="0" w:line="240" w:lineRule="auto"/>
                    <w:rPr>
                      <w:rFonts w:ascii="Arial" w:hAnsi="Arial" w:cs="Arial"/>
                      <w:color w:val="000000"/>
                      <w:sz w:val="18"/>
                      <w:szCs w:val="18"/>
                    </w:rPr>
                  </w:pPr>
                </w:p>
                <w:p w14:paraId="5C268877"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 xml:space="preserve">FTSE NAREIT All Equity REITs </w:t>
                  </w:r>
                </w:p>
              </w:tc>
              <w:tc>
                <w:tcPr>
                  <w:tcW w:w="6883" w:type="dxa"/>
                  <w:tcBorders>
                    <w:top w:val="nil"/>
                    <w:left w:val="nil"/>
                    <w:bottom w:val="nil"/>
                    <w:right w:val="nil"/>
                  </w:tcBorders>
                  <w:shd w:val="clear" w:color="auto" w:fill="auto"/>
                </w:tcPr>
                <w:p w14:paraId="4D4E2B86" w14:textId="77777777" w:rsidR="008C20D8" w:rsidRPr="008F3C1E" w:rsidRDefault="008C20D8" w:rsidP="002C32BB">
                  <w:pPr>
                    <w:spacing w:after="0" w:line="240" w:lineRule="auto"/>
                    <w:rPr>
                      <w:rFonts w:ascii="Arial" w:hAnsi="Arial" w:cs="Arial"/>
                      <w:color w:val="000000"/>
                      <w:sz w:val="18"/>
                      <w:szCs w:val="18"/>
                    </w:rPr>
                  </w:pPr>
                </w:p>
                <w:p w14:paraId="4AE89BE8"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measures the performance of a comprehensive family of REIT indexes that spans the commercial real estate space across the US economy. The index series provides investors with exposure to all investment and property sectors.</w:t>
                  </w:r>
                </w:p>
                <w:p w14:paraId="58B1E028" w14:textId="77777777" w:rsidR="008C20D8" w:rsidRPr="008F3C1E" w:rsidRDefault="008C20D8" w:rsidP="002C32BB">
                  <w:pPr>
                    <w:spacing w:after="0" w:line="240" w:lineRule="auto"/>
                    <w:rPr>
                      <w:rFonts w:ascii="Arial" w:hAnsi="Arial" w:cs="Arial"/>
                      <w:color w:val="000000"/>
                      <w:sz w:val="18"/>
                      <w:szCs w:val="18"/>
                    </w:rPr>
                  </w:pPr>
                </w:p>
              </w:tc>
            </w:tr>
            <w:tr w:rsidR="008C20D8" w:rsidRPr="007A7BDF" w14:paraId="412E07E4" w14:textId="77777777" w:rsidTr="002C32BB">
              <w:trPr>
                <w:trHeight w:val="909"/>
              </w:trPr>
              <w:tc>
                <w:tcPr>
                  <w:tcW w:w="1502" w:type="dxa"/>
                  <w:tcBorders>
                    <w:top w:val="nil"/>
                    <w:left w:val="nil"/>
                    <w:bottom w:val="nil"/>
                    <w:right w:val="nil"/>
                  </w:tcBorders>
                  <w:shd w:val="clear" w:color="auto" w:fill="auto"/>
                </w:tcPr>
                <w:p w14:paraId="55230E21"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Sector - Energy</w:t>
                  </w:r>
                </w:p>
              </w:tc>
              <w:tc>
                <w:tcPr>
                  <w:tcW w:w="1961" w:type="dxa"/>
                  <w:tcBorders>
                    <w:top w:val="nil"/>
                    <w:left w:val="nil"/>
                    <w:bottom w:val="nil"/>
                    <w:right w:val="nil"/>
                  </w:tcBorders>
                  <w:shd w:val="clear" w:color="auto" w:fill="auto"/>
                </w:tcPr>
                <w:p w14:paraId="3CE1E221"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S&amp;P 500 Sector Energy</w:t>
                  </w:r>
                </w:p>
              </w:tc>
              <w:tc>
                <w:tcPr>
                  <w:tcW w:w="6883" w:type="dxa"/>
                  <w:tcBorders>
                    <w:top w:val="nil"/>
                    <w:left w:val="nil"/>
                    <w:bottom w:val="nil"/>
                    <w:right w:val="nil"/>
                  </w:tcBorders>
                  <w:shd w:val="clear" w:color="auto" w:fill="auto"/>
                </w:tcPr>
                <w:p w14:paraId="40ACD32C"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measures the performance of companies involved in the development and production of crude oil, natural gas and provide drilling and other energy-related services.</w:t>
                  </w:r>
                </w:p>
              </w:tc>
            </w:tr>
            <w:tr w:rsidR="008C20D8" w:rsidRPr="007A7BDF" w14:paraId="54D55691" w14:textId="77777777" w:rsidTr="002C32BB">
              <w:trPr>
                <w:trHeight w:val="909"/>
              </w:trPr>
              <w:tc>
                <w:tcPr>
                  <w:tcW w:w="1502" w:type="dxa"/>
                  <w:tcBorders>
                    <w:top w:val="nil"/>
                    <w:left w:val="nil"/>
                    <w:bottom w:val="nil"/>
                    <w:right w:val="nil"/>
                  </w:tcBorders>
                  <w:shd w:val="clear" w:color="auto" w:fill="auto"/>
                </w:tcPr>
                <w:p w14:paraId="1DF1858E"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Russia</w:t>
                  </w:r>
                </w:p>
              </w:tc>
              <w:tc>
                <w:tcPr>
                  <w:tcW w:w="1961" w:type="dxa"/>
                  <w:tcBorders>
                    <w:top w:val="nil"/>
                    <w:left w:val="nil"/>
                    <w:bottom w:val="nil"/>
                    <w:right w:val="nil"/>
                  </w:tcBorders>
                  <w:shd w:val="clear" w:color="auto" w:fill="auto"/>
                </w:tcPr>
                <w:p w14:paraId="559D5640"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MSCI Russia</w:t>
                  </w:r>
                </w:p>
              </w:tc>
              <w:tc>
                <w:tcPr>
                  <w:tcW w:w="6883" w:type="dxa"/>
                  <w:tcBorders>
                    <w:top w:val="nil"/>
                    <w:left w:val="nil"/>
                    <w:bottom w:val="nil"/>
                    <w:right w:val="nil"/>
                  </w:tcBorders>
                  <w:shd w:val="clear" w:color="auto" w:fill="auto"/>
                </w:tcPr>
                <w:p w14:paraId="1002C1E6"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 xml:space="preserve">is designed to measure the large and mid-cap segments of the Russian markets. With 23 constituents, the index covers approximately 85% of the </w:t>
                  </w:r>
                  <w:proofErr w:type="gramStart"/>
                  <w:r w:rsidRPr="008F3C1E">
                    <w:rPr>
                      <w:rFonts w:ascii="Arial" w:hAnsi="Arial" w:cs="Arial"/>
                      <w:color w:val="000000"/>
                      <w:sz w:val="18"/>
                      <w:szCs w:val="18"/>
                    </w:rPr>
                    <w:t>free-float</w:t>
                  </w:r>
                  <w:proofErr w:type="gramEnd"/>
                  <w:r w:rsidRPr="008F3C1E">
                    <w:rPr>
                      <w:rFonts w:ascii="Arial" w:hAnsi="Arial" w:cs="Arial"/>
                      <w:color w:val="000000"/>
                      <w:sz w:val="18"/>
                      <w:szCs w:val="18"/>
                    </w:rPr>
                    <w:t xml:space="preserve"> adjusted market capitalization in Russia.</w:t>
                  </w:r>
                </w:p>
              </w:tc>
            </w:tr>
            <w:tr w:rsidR="008C20D8" w:rsidRPr="007A7BDF" w14:paraId="7D528AD0" w14:textId="77777777" w:rsidTr="002C32BB">
              <w:trPr>
                <w:trHeight w:val="909"/>
              </w:trPr>
              <w:tc>
                <w:tcPr>
                  <w:tcW w:w="1502" w:type="dxa"/>
                  <w:tcBorders>
                    <w:top w:val="nil"/>
                    <w:left w:val="nil"/>
                    <w:bottom w:val="nil"/>
                    <w:right w:val="nil"/>
                  </w:tcBorders>
                  <w:shd w:val="clear" w:color="auto" w:fill="auto"/>
                </w:tcPr>
                <w:p w14:paraId="1766D37E"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US Growth</w:t>
                  </w:r>
                </w:p>
              </w:tc>
              <w:tc>
                <w:tcPr>
                  <w:tcW w:w="1961" w:type="dxa"/>
                  <w:tcBorders>
                    <w:top w:val="nil"/>
                    <w:left w:val="nil"/>
                    <w:bottom w:val="nil"/>
                    <w:right w:val="nil"/>
                  </w:tcBorders>
                  <w:shd w:val="clear" w:color="auto" w:fill="auto"/>
                </w:tcPr>
                <w:p w14:paraId="5ECC41F1"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S&amp;P 500 Growth</w:t>
                  </w:r>
                </w:p>
              </w:tc>
              <w:tc>
                <w:tcPr>
                  <w:tcW w:w="6883" w:type="dxa"/>
                  <w:tcBorders>
                    <w:top w:val="nil"/>
                    <w:left w:val="nil"/>
                    <w:bottom w:val="nil"/>
                    <w:right w:val="nil"/>
                  </w:tcBorders>
                  <w:shd w:val="clear" w:color="auto" w:fill="auto"/>
                </w:tcPr>
                <w:p w14:paraId="5D0AAB17"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measures the performance of large-cap growth stocks in the U.S., which are identified by sales growth, price-to-</w:t>
                  </w:r>
                  <w:proofErr w:type="gramStart"/>
                  <w:r w:rsidRPr="008F3C1E">
                    <w:rPr>
                      <w:rFonts w:ascii="Arial" w:hAnsi="Arial" w:cs="Arial"/>
                      <w:color w:val="000000"/>
                      <w:sz w:val="18"/>
                      <w:szCs w:val="18"/>
                    </w:rPr>
                    <w:t>earnings</w:t>
                  </w:r>
                  <w:proofErr w:type="gramEnd"/>
                  <w:r w:rsidRPr="008F3C1E">
                    <w:rPr>
                      <w:rFonts w:ascii="Arial" w:hAnsi="Arial" w:cs="Arial"/>
                      <w:color w:val="000000"/>
                      <w:sz w:val="18"/>
                      <w:szCs w:val="18"/>
                    </w:rPr>
                    <w:t xml:space="preserve"> and momentum.  Constituents generally have a market-cap above $5 billion. </w:t>
                  </w:r>
                </w:p>
              </w:tc>
            </w:tr>
            <w:tr w:rsidR="008C20D8" w:rsidRPr="007A7BDF" w14:paraId="3621F63C" w14:textId="77777777" w:rsidTr="002C32BB">
              <w:trPr>
                <w:trHeight w:val="909"/>
              </w:trPr>
              <w:tc>
                <w:tcPr>
                  <w:tcW w:w="1502" w:type="dxa"/>
                  <w:tcBorders>
                    <w:top w:val="nil"/>
                    <w:left w:val="nil"/>
                    <w:bottom w:val="nil"/>
                    <w:right w:val="nil"/>
                  </w:tcBorders>
                  <w:shd w:val="clear" w:color="auto" w:fill="auto"/>
                </w:tcPr>
                <w:p w14:paraId="62A43842"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US Value</w:t>
                  </w:r>
                </w:p>
              </w:tc>
              <w:tc>
                <w:tcPr>
                  <w:tcW w:w="1961" w:type="dxa"/>
                  <w:tcBorders>
                    <w:top w:val="nil"/>
                    <w:left w:val="nil"/>
                    <w:bottom w:val="nil"/>
                    <w:right w:val="nil"/>
                  </w:tcBorders>
                  <w:shd w:val="clear" w:color="auto" w:fill="auto"/>
                </w:tcPr>
                <w:p w14:paraId="510F2EFE"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S&amp;P 500 Value</w:t>
                  </w:r>
                </w:p>
              </w:tc>
              <w:tc>
                <w:tcPr>
                  <w:tcW w:w="6883" w:type="dxa"/>
                  <w:tcBorders>
                    <w:top w:val="nil"/>
                    <w:left w:val="nil"/>
                    <w:bottom w:val="nil"/>
                    <w:right w:val="nil"/>
                  </w:tcBorders>
                  <w:shd w:val="clear" w:color="auto" w:fill="auto"/>
                </w:tcPr>
                <w:p w14:paraId="4E8A9925"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measures the performance of value stocks in the U.S., which are identified by sales growth, price-to-</w:t>
                  </w:r>
                  <w:proofErr w:type="gramStart"/>
                  <w:r w:rsidRPr="008F3C1E">
                    <w:rPr>
                      <w:rFonts w:ascii="Arial" w:hAnsi="Arial" w:cs="Arial"/>
                      <w:color w:val="000000"/>
                      <w:sz w:val="18"/>
                      <w:szCs w:val="18"/>
                    </w:rPr>
                    <w:t>earnings</w:t>
                  </w:r>
                  <w:proofErr w:type="gramEnd"/>
                  <w:r w:rsidRPr="008F3C1E">
                    <w:rPr>
                      <w:rFonts w:ascii="Arial" w:hAnsi="Arial" w:cs="Arial"/>
                      <w:color w:val="000000"/>
                      <w:sz w:val="18"/>
                      <w:szCs w:val="18"/>
                    </w:rPr>
                    <w:t xml:space="preserve"> and momentum.  Constituents generally have a market-cap above $5 billion. </w:t>
                  </w:r>
                </w:p>
              </w:tc>
            </w:tr>
            <w:tr w:rsidR="008C20D8" w:rsidRPr="007A7BDF" w14:paraId="44D72D8E" w14:textId="77777777" w:rsidTr="002C32BB">
              <w:trPr>
                <w:trHeight w:val="909"/>
              </w:trPr>
              <w:tc>
                <w:tcPr>
                  <w:tcW w:w="1502" w:type="dxa"/>
                  <w:tcBorders>
                    <w:top w:val="nil"/>
                    <w:left w:val="nil"/>
                    <w:bottom w:val="nil"/>
                    <w:right w:val="nil"/>
                  </w:tcBorders>
                  <w:shd w:val="clear" w:color="auto" w:fill="auto"/>
                </w:tcPr>
                <w:p w14:paraId="4FF034D0"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US Small Cap</w:t>
                  </w:r>
                </w:p>
              </w:tc>
              <w:tc>
                <w:tcPr>
                  <w:tcW w:w="1961" w:type="dxa"/>
                  <w:tcBorders>
                    <w:top w:val="nil"/>
                    <w:left w:val="nil"/>
                    <w:bottom w:val="nil"/>
                    <w:right w:val="nil"/>
                  </w:tcBorders>
                  <w:shd w:val="clear" w:color="auto" w:fill="auto"/>
                </w:tcPr>
                <w:p w14:paraId="4D26E14F"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S&amp;P 600</w:t>
                  </w:r>
                </w:p>
              </w:tc>
              <w:tc>
                <w:tcPr>
                  <w:tcW w:w="6883" w:type="dxa"/>
                  <w:tcBorders>
                    <w:top w:val="nil"/>
                    <w:left w:val="nil"/>
                    <w:bottom w:val="nil"/>
                    <w:right w:val="nil"/>
                  </w:tcBorders>
                  <w:shd w:val="clear" w:color="auto" w:fill="auto"/>
                </w:tcPr>
                <w:p w14:paraId="679E740E"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 xml:space="preserve">measures the performance of 600 small-sized companies in the U.S. Constituents generally have a market-cap between $400 million and $1.8 billion and meet criteria to ensure they are liquid and financially viable. </w:t>
                  </w:r>
                </w:p>
              </w:tc>
            </w:tr>
            <w:tr w:rsidR="008C20D8" w:rsidRPr="007A7BDF" w14:paraId="3C0572A0" w14:textId="77777777" w:rsidTr="002C32BB">
              <w:trPr>
                <w:trHeight w:val="909"/>
              </w:trPr>
              <w:tc>
                <w:tcPr>
                  <w:tcW w:w="1502" w:type="dxa"/>
                  <w:tcBorders>
                    <w:top w:val="nil"/>
                    <w:left w:val="nil"/>
                    <w:bottom w:val="nil"/>
                    <w:right w:val="nil"/>
                  </w:tcBorders>
                  <w:shd w:val="clear" w:color="auto" w:fill="auto"/>
                </w:tcPr>
                <w:p w14:paraId="0DFB6CB7" w14:textId="77777777" w:rsidR="008C20D8" w:rsidRPr="00EB1FE4" w:rsidRDefault="008C20D8" w:rsidP="002C32BB">
                  <w:pPr>
                    <w:spacing w:after="0" w:line="240" w:lineRule="auto"/>
                    <w:rPr>
                      <w:rFonts w:ascii="Arial" w:hAnsi="Arial" w:cs="Arial"/>
                      <w:color w:val="000000"/>
                      <w:sz w:val="18"/>
                      <w:szCs w:val="18"/>
                    </w:rPr>
                  </w:pPr>
                  <w:r w:rsidRPr="00EB1FE4">
                    <w:rPr>
                      <w:rFonts w:ascii="Arial" w:hAnsi="Arial" w:cs="Arial"/>
                      <w:sz w:val="18"/>
                      <w:szCs w:val="18"/>
                    </w:rPr>
                    <w:lastRenderedPageBreak/>
                    <w:t>US Dividend Equity</w:t>
                  </w:r>
                </w:p>
              </w:tc>
              <w:tc>
                <w:tcPr>
                  <w:tcW w:w="1961" w:type="dxa"/>
                  <w:tcBorders>
                    <w:top w:val="nil"/>
                    <w:left w:val="nil"/>
                    <w:bottom w:val="nil"/>
                    <w:right w:val="nil"/>
                  </w:tcBorders>
                  <w:shd w:val="clear" w:color="auto" w:fill="auto"/>
                </w:tcPr>
                <w:p w14:paraId="018670F1" w14:textId="77777777" w:rsidR="008C20D8" w:rsidRPr="00EB1FE4" w:rsidRDefault="008C20D8" w:rsidP="002C32BB">
                  <w:pPr>
                    <w:spacing w:after="0" w:line="240" w:lineRule="auto"/>
                    <w:rPr>
                      <w:rFonts w:ascii="Arial" w:hAnsi="Arial" w:cs="Arial"/>
                      <w:color w:val="000000"/>
                      <w:sz w:val="18"/>
                      <w:szCs w:val="18"/>
                    </w:rPr>
                  </w:pPr>
                  <w:r w:rsidRPr="00EB1FE4">
                    <w:rPr>
                      <w:rFonts w:ascii="Arial" w:hAnsi="Arial" w:cs="Arial"/>
                      <w:sz w:val="18"/>
                      <w:szCs w:val="18"/>
                    </w:rPr>
                    <w:t>Dow Jones Select Dividend</w:t>
                  </w:r>
                </w:p>
              </w:tc>
              <w:tc>
                <w:tcPr>
                  <w:tcW w:w="6883" w:type="dxa"/>
                  <w:tcBorders>
                    <w:top w:val="nil"/>
                    <w:left w:val="nil"/>
                    <w:bottom w:val="nil"/>
                    <w:right w:val="nil"/>
                  </w:tcBorders>
                  <w:shd w:val="clear" w:color="auto" w:fill="auto"/>
                </w:tcPr>
                <w:p w14:paraId="1DA77378" w14:textId="77777777" w:rsidR="008C20D8" w:rsidRPr="00EB1FE4" w:rsidRDefault="008C20D8" w:rsidP="002C32BB">
                  <w:pPr>
                    <w:spacing w:after="0" w:line="240" w:lineRule="auto"/>
                    <w:rPr>
                      <w:rFonts w:ascii="Arial" w:hAnsi="Arial" w:cs="Arial"/>
                      <w:color w:val="000000"/>
                      <w:sz w:val="18"/>
                      <w:szCs w:val="18"/>
                    </w:rPr>
                  </w:pPr>
                  <w:r w:rsidRPr="00EB1FE4">
                    <w:rPr>
                      <w:rFonts w:ascii="Arial" w:hAnsi="Arial" w:cs="Arial"/>
                      <w:sz w:val="18"/>
                      <w:szCs w:val="18"/>
                    </w:rPr>
                    <w:t>measures 100 stocks selected on dividend yield, screened for: dividend-per-share growth rate, dividend payout ratio and average daily dollar trading volume.  Constituents are weighted by indicated annual dividend.</w:t>
                  </w:r>
                </w:p>
              </w:tc>
            </w:tr>
            <w:tr w:rsidR="008C20D8" w:rsidRPr="007A7BDF" w14:paraId="20C3209A" w14:textId="77777777" w:rsidTr="002C32BB">
              <w:trPr>
                <w:trHeight w:val="909"/>
              </w:trPr>
              <w:tc>
                <w:tcPr>
                  <w:tcW w:w="1502" w:type="dxa"/>
                  <w:tcBorders>
                    <w:top w:val="nil"/>
                    <w:left w:val="nil"/>
                    <w:bottom w:val="nil"/>
                    <w:right w:val="nil"/>
                  </w:tcBorders>
                  <w:shd w:val="clear" w:color="auto" w:fill="auto"/>
                </w:tcPr>
                <w:p w14:paraId="380B33AA"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Global 60/40 Index Blend</w:t>
                  </w:r>
                </w:p>
              </w:tc>
              <w:tc>
                <w:tcPr>
                  <w:tcW w:w="1961" w:type="dxa"/>
                  <w:tcBorders>
                    <w:top w:val="nil"/>
                    <w:left w:val="nil"/>
                    <w:bottom w:val="nil"/>
                    <w:right w:val="nil"/>
                  </w:tcBorders>
                  <w:shd w:val="clear" w:color="auto" w:fill="auto"/>
                </w:tcPr>
                <w:p w14:paraId="20C9C026"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60% MSCI ACWI, 40% BBG Barclays Global Aggregate</w:t>
                  </w:r>
                </w:p>
              </w:tc>
              <w:tc>
                <w:tcPr>
                  <w:tcW w:w="6883" w:type="dxa"/>
                  <w:tcBorders>
                    <w:top w:val="nil"/>
                    <w:left w:val="nil"/>
                    <w:bottom w:val="nil"/>
                    <w:right w:val="nil"/>
                  </w:tcBorders>
                  <w:shd w:val="clear" w:color="auto" w:fill="auto"/>
                </w:tcPr>
                <w:p w14:paraId="76DD3EE7"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measures the performance of a blend of global equities and global bond indexes used as a benchmark for balanced portfolios</w:t>
                  </w:r>
                </w:p>
              </w:tc>
            </w:tr>
            <w:tr w:rsidR="008C20D8" w:rsidRPr="00FC1CD5" w14:paraId="270B7A7B" w14:textId="77777777" w:rsidTr="002C32BB">
              <w:trPr>
                <w:trHeight w:val="909"/>
              </w:trPr>
              <w:tc>
                <w:tcPr>
                  <w:tcW w:w="1502" w:type="dxa"/>
                  <w:tcBorders>
                    <w:top w:val="nil"/>
                    <w:left w:val="nil"/>
                    <w:bottom w:val="nil"/>
                    <w:right w:val="nil"/>
                  </w:tcBorders>
                  <w:shd w:val="clear" w:color="auto" w:fill="auto"/>
                </w:tcPr>
                <w:p w14:paraId="78C67102"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US Dollar</w:t>
                  </w:r>
                </w:p>
              </w:tc>
              <w:tc>
                <w:tcPr>
                  <w:tcW w:w="1961" w:type="dxa"/>
                  <w:tcBorders>
                    <w:top w:val="nil"/>
                    <w:left w:val="nil"/>
                    <w:bottom w:val="nil"/>
                    <w:right w:val="nil"/>
                  </w:tcBorders>
                  <w:shd w:val="clear" w:color="auto" w:fill="auto"/>
                </w:tcPr>
                <w:p w14:paraId="6FEA5B5A"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US Dollar Index</w:t>
                  </w:r>
                </w:p>
              </w:tc>
              <w:tc>
                <w:tcPr>
                  <w:tcW w:w="6883" w:type="dxa"/>
                  <w:tcBorders>
                    <w:top w:val="nil"/>
                    <w:left w:val="nil"/>
                    <w:bottom w:val="nil"/>
                    <w:right w:val="nil"/>
                  </w:tcBorders>
                  <w:shd w:val="clear" w:color="auto" w:fill="auto"/>
                </w:tcPr>
                <w:p w14:paraId="0CBF6ED4" w14:textId="77777777" w:rsidR="008C20D8" w:rsidRPr="008F3C1E" w:rsidRDefault="008C20D8" w:rsidP="002C32BB">
                  <w:pPr>
                    <w:spacing w:after="0" w:line="240" w:lineRule="auto"/>
                    <w:rPr>
                      <w:rFonts w:ascii="Arial" w:hAnsi="Arial" w:cs="Arial"/>
                      <w:color w:val="000000"/>
                      <w:sz w:val="18"/>
                      <w:szCs w:val="18"/>
                    </w:rPr>
                  </w:pPr>
                  <w:r w:rsidRPr="008F3C1E">
                    <w:rPr>
                      <w:rFonts w:ascii="Arial" w:hAnsi="Arial" w:cs="Arial"/>
                      <w:color w:val="000000"/>
                      <w:sz w:val="18"/>
                      <w:szCs w:val="18"/>
                    </w:rPr>
                    <w:t xml:space="preserve">measures the value of the US dollar relative to the value of a 'basket' of currencies of </w:t>
                  </w:r>
                  <w:proofErr w:type="gramStart"/>
                  <w:r w:rsidRPr="008F3C1E">
                    <w:rPr>
                      <w:rFonts w:ascii="Arial" w:hAnsi="Arial" w:cs="Arial"/>
                      <w:color w:val="000000"/>
                      <w:sz w:val="18"/>
                      <w:szCs w:val="18"/>
                    </w:rPr>
                    <w:t>the majority of</w:t>
                  </w:r>
                  <w:proofErr w:type="gramEnd"/>
                  <w:r w:rsidRPr="008F3C1E">
                    <w:rPr>
                      <w:rFonts w:ascii="Arial" w:hAnsi="Arial" w:cs="Arial"/>
                      <w:color w:val="000000"/>
                      <w:sz w:val="18"/>
                      <w:szCs w:val="18"/>
                    </w:rPr>
                    <w:t xml:space="preserve"> the U.S.'s most significant trading partners.  Factors the exchange rates of six major world currencies:  euro, Japanese yen, Canadian dollar, British pound, Swedish </w:t>
                  </w:r>
                  <w:proofErr w:type="gramStart"/>
                  <w:r w:rsidRPr="008F3C1E">
                    <w:rPr>
                      <w:rFonts w:ascii="Arial" w:hAnsi="Arial" w:cs="Arial"/>
                      <w:color w:val="000000"/>
                      <w:sz w:val="18"/>
                      <w:szCs w:val="18"/>
                    </w:rPr>
                    <w:t>krona</w:t>
                  </w:r>
                  <w:proofErr w:type="gramEnd"/>
                  <w:r w:rsidRPr="008F3C1E">
                    <w:rPr>
                      <w:rFonts w:ascii="Arial" w:hAnsi="Arial" w:cs="Arial"/>
                      <w:color w:val="000000"/>
                      <w:sz w:val="18"/>
                      <w:szCs w:val="18"/>
                    </w:rPr>
                    <w:t xml:space="preserve"> and Swiss franc. </w:t>
                  </w:r>
                </w:p>
              </w:tc>
            </w:tr>
          </w:tbl>
          <w:p w14:paraId="7E6694C0" w14:textId="77777777" w:rsidR="008C20D8" w:rsidRPr="00523F4E" w:rsidRDefault="008C20D8" w:rsidP="002C32BB">
            <w:pPr>
              <w:spacing w:after="160"/>
              <w:ind w:left="-720" w:right="-720"/>
              <w:rPr>
                <w:rFonts w:ascii="Arial" w:hAnsi="Arial" w:cs="Arial"/>
                <w:color w:val="343433"/>
                <w:sz w:val="16"/>
                <w:szCs w:val="16"/>
              </w:rPr>
            </w:pPr>
          </w:p>
        </w:tc>
      </w:tr>
      <w:bookmarkEnd w:id="0"/>
    </w:tbl>
    <w:p w14:paraId="3B5D31A8" w14:textId="5458CB82" w:rsidR="0026106D" w:rsidRDefault="0026106D" w:rsidP="000E5F02">
      <w:pPr>
        <w:autoSpaceDE w:val="0"/>
        <w:autoSpaceDN w:val="0"/>
        <w:spacing w:after="0"/>
        <w:ind w:right="-360" w:hanging="540"/>
        <w:rPr>
          <w:rFonts w:ascii="Arial" w:hAnsi="Arial" w:cs="Arial"/>
          <w:color w:val="3B3838" w:themeColor="background2" w:themeShade="40"/>
          <w:sz w:val="20"/>
          <w:szCs w:val="20"/>
        </w:rPr>
      </w:pPr>
    </w:p>
    <w:p w14:paraId="1EC23BD2" w14:textId="1C7DB5BE" w:rsidR="00082B41" w:rsidRDefault="00082B41" w:rsidP="000E5F02">
      <w:pPr>
        <w:autoSpaceDE w:val="0"/>
        <w:autoSpaceDN w:val="0"/>
        <w:spacing w:after="0"/>
        <w:ind w:right="-360" w:hanging="540"/>
        <w:rPr>
          <w:rFonts w:ascii="Arial" w:hAnsi="Arial" w:cs="Arial"/>
          <w:color w:val="3B3838" w:themeColor="background2" w:themeShade="40"/>
          <w:sz w:val="20"/>
          <w:szCs w:val="20"/>
        </w:rPr>
      </w:pPr>
    </w:p>
    <w:p w14:paraId="1DB1F452" w14:textId="4EF6AD67" w:rsidR="00082B41" w:rsidRDefault="00082B41" w:rsidP="000E5F02">
      <w:pPr>
        <w:autoSpaceDE w:val="0"/>
        <w:autoSpaceDN w:val="0"/>
        <w:spacing w:after="0"/>
        <w:ind w:right="-360" w:hanging="540"/>
        <w:rPr>
          <w:rFonts w:ascii="Arial" w:hAnsi="Arial" w:cs="Arial"/>
          <w:color w:val="3B3838" w:themeColor="background2" w:themeShade="40"/>
          <w:sz w:val="20"/>
          <w:szCs w:val="20"/>
        </w:rPr>
      </w:pPr>
    </w:p>
    <w:p w14:paraId="38C84D78" w14:textId="77777777" w:rsidR="00082B41" w:rsidRPr="000E5F02" w:rsidRDefault="00082B41" w:rsidP="000E5F02">
      <w:pPr>
        <w:autoSpaceDE w:val="0"/>
        <w:autoSpaceDN w:val="0"/>
        <w:spacing w:after="0"/>
        <w:ind w:right="-360" w:hanging="540"/>
        <w:rPr>
          <w:rFonts w:ascii="Arial" w:hAnsi="Arial" w:cs="Arial"/>
          <w:color w:val="3B3838" w:themeColor="background2" w:themeShade="40"/>
          <w:sz w:val="20"/>
          <w:szCs w:val="20"/>
        </w:rPr>
      </w:pPr>
    </w:p>
    <w:p w14:paraId="1CA21405" w14:textId="77777777" w:rsidR="00DE0BBF" w:rsidRDefault="00DE0BBF" w:rsidP="00FE7F0D">
      <w:pPr>
        <w:spacing w:after="160"/>
        <w:ind w:right="-720"/>
        <w:rPr>
          <w:rFonts w:ascii="Arial" w:hAnsi="Arial" w:cs="Arial"/>
          <w:color w:val="343433"/>
          <w:sz w:val="16"/>
          <w:szCs w:val="16"/>
        </w:rPr>
      </w:pPr>
    </w:p>
    <w:p w14:paraId="7FB63708" w14:textId="77777777" w:rsidR="00DE0BBF" w:rsidRDefault="00DE0BBF" w:rsidP="00FE7F0D">
      <w:pPr>
        <w:spacing w:after="160"/>
        <w:ind w:right="-720"/>
        <w:rPr>
          <w:rFonts w:ascii="Arial" w:hAnsi="Arial" w:cs="Arial"/>
          <w:color w:val="343433"/>
          <w:sz w:val="16"/>
          <w:szCs w:val="16"/>
        </w:rPr>
      </w:pPr>
    </w:p>
    <w:p w14:paraId="640A84B7" w14:textId="10E6C23C" w:rsidR="003A27B5" w:rsidRPr="0040163B" w:rsidRDefault="005D1A45" w:rsidP="00FE7F0D">
      <w:pPr>
        <w:spacing w:after="160"/>
        <w:ind w:right="-720"/>
        <w:rPr>
          <w:rFonts w:ascii="Arial" w:hAnsi="Arial" w:cs="Arial"/>
          <w:color w:val="343433"/>
          <w:sz w:val="16"/>
          <w:szCs w:val="16"/>
        </w:rPr>
      </w:pPr>
      <w:r>
        <w:rPr>
          <w:rFonts w:ascii="Arial" w:hAnsi="Arial" w:cs="Arial"/>
          <w:noProof/>
          <w:color w:val="343433"/>
          <w:sz w:val="16"/>
          <w:szCs w:val="16"/>
        </w:rPr>
        <w:lastRenderedPageBreak/>
        <mc:AlternateContent>
          <mc:Choice Requires="wpg">
            <w:drawing>
              <wp:anchor distT="0" distB="0" distL="114300" distR="114300" simplePos="0" relativeHeight="251679744" behindDoc="0" locked="0" layoutInCell="1" allowOverlap="1" wp14:anchorId="35A1F3A9" wp14:editId="15EB6EA7">
                <wp:simplePos x="0" y="0"/>
                <wp:positionH relativeFrom="margin">
                  <wp:posOffset>-495300</wp:posOffset>
                </wp:positionH>
                <wp:positionV relativeFrom="paragraph">
                  <wp:posOffset>2451735</wp:posOffset>
                </wp:positionV>
                <wp:extent cx="6927850" cy="5575300"/>
                <wp:effectExtent l="0" t="0" r="6350" b="6350"/>
                <wp:wrapTopAndBottom/>
                <wp:docPr id="3" name="Group 3"/>
                <wp:cNvGraphicFramePr/>
                <a:graphic xmlns:a="http://schemas.openxmlformats.org/drawingml/2006/main">
                  <a:graphicData uri="http://schemas.microsoft.com/office/word/2010/wordprocessingGroup">
                    <wpg:wgp>
                      <wpg:cNvGrpSpPr/>
                      <wpg:grpSpPr>
                        <a:xfrm>
                          <a:off x="0" y="0"/>
                          <a:ext cx="6927850" cy="5575300"/>
                          <a:chOff x="0" y="0"/>
                          <a:chExt cx="6927850" cy="2527540"/>
                        </a:xfrm>
                      </wpg:grpSpPr>
                      <wpg:grpSp>
                        <wpg:cNvPr id="21" name="Group 21"/>
                        <wpg:cNvGrpSpPr/>
                        <wpg:grpSpPr>
                          <a:xfrm>
                            <a:off x="0" y="0"/>
                            <a:ext cx="6927850" cy="2527540"/>
                            <a:chOff x="0" y="299834"/>
                            <a:chExt cx="6858000" cy="2216733"/>
                          </a:xfrm>
                        </wpg:grpSpPr>
                        <wps:wsp>
                          <wps:cNvPr id="17" name="Rectangle 17"/>
                          <wps:cNvSpPr/>
                          <wps:spPr>
                            <a:xfrm>
                              <a:off x="0" y="299834"/>
                              <a:ext cx="6858000" cy="22167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8638" y="319560"/>
                              <a:ext cx="1303507" cy="1945482"/>
                            </a:xfrm>
                            <a:prstGeom prst="rect">
                              <a:avLst/>
                            </a:prstGeom>
                            <a:noFill/>
                            <a:ln w="6350">
                              <a:noFill/>
                            </a:ln>
                          </wps:spPr>
                          <wps:txb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11215" y="44450"/>
                            <a:ext cx="5417820" cy="2483090"/>
                          </a:xfrm>
                          <a:prstGeom prst="rect">
                            <a:avLst/>
                          </a:prstGeom>
                          <a:noFill/>
                          <a:ln w="6350">
                            <a:noFill/>
                          </a:ln>
                        </wps:spPr>
                        <wps:txb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2BC4DFA" w14:textId="77777777" w:rsidR="00476763" w:rsidRPr="00476763" w:rsidRDefault="00476763" w:rsidP="00476763">
                              <w:pPr>
                                <w:pStyle w:val="NormalWeb"/>
                                <w:contextualSpacing/>
                                <w:rPr>
                                  <w:rFonts w:ascii="Arial" w:hAnsi="Arial" w:cs="Arial"/>
                                  <w:sz w:val="16"/>
                                  <w:szCs w:val="16"/>
                                </w:rPr>
                              </w:pPr>
                            </w:p>
                            <w:p w14:paraId="0D082ED7" w14:textId="3F17C769"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Please read the Terms of Use posted at </w:t>
                              </w:r>
                              <w:hyperlink r:id="rId15" w:history="1">
                                <w:r w:rsidR="009708E7" w:rsidRPr="009708E7">
                                  <w:rPr>
                                    <w:rStyle w:val="Hyperlink"/>
                                    <w:rFonts w:ascii="Arial" w:hAnsi="Arial" w:cs="Arial"/>
                                    <w:sz w:val="16"/>
                                    <w:szCs w:val="16"/>
                                  </w:rPr>
                                  <w:t>www.ewealthmanager.com</w:t>
                                </w:r>
                              </w:hyperlink>
                              <w:r w:rsidR="009708E7">
                                <w:rPr>
                                  <w:rFonts w:ascii="Arial" w:hAnsi="Arial" w:cs="Arial"/>
                                  <w:sz w:val="20"/>
                                  <w:szCs w:val="20"/>
                                </w:rPr>
                                <w:t xml:space="preserve"> </w:t>
                              </w:r>
                              <w:r w:rsidRPr="00476763">
                                <w:rPr>
                                  <w:rFonts w:ascii="Arial" w:hAnsi="Arial" w:cs="Arial"/>
                                  <w:sz w:val="16"/>
                                  <w:szCs w:val="16"/>
                                </w:rPr>
                                <w:t xml:space="preserve">that govern the use of these materials </w:t>
                              </w:r>
                              <w:proofErr w:type="gramStart"/>
                              <w:r w:rsidRPr="00476763">
                                <w:rPr>
                                  <w:rFonts w:ascii="Arial" w:hAnsi="Arial" w:cs="Arial"/>
                                  <w:sz w:val="16"/>
                                  <w:szCs w:val="16"/>
                                </w:rPr>
                                <w:t>and also</w:t>
                              </w:r>
                              <w:proofErr w:type="gramEnd"/>
                              <w:r w:rsidRPr="00476763">
                                <w:rPr>
                                  <w:rFonts w:ascii="Arial" w:hAnsi="Arial" w:cs="Arial"/>
                                  <w:sz w:val="16"/>
                                  <w:szCs w:val="16"/>
                                </w:rPr>
                                <w:t xml:space="preserve"> be advised:</w:t>
                              </w:r>
                            </w:p>
                            <w:p w14:paraId="0DF9985F" w14:textId="77777777" w:rsidR="00476763" w:rsidRPr="00476763" w:rsidRDefault="00476763" w:rsidP="00476763">
                              <w:pPr>
                                <w:pStyle w:val="NormalWeb"/>
                                <w:contextualSpacing/>
                                <w:rPr>
                                  <w:rFonts w:ascii="Arial" w:hAnsi="Arial" w:cs="Arial"/>
                                  <w:sz w:val="16"/>
                                  <w:szCs w:val="16"/>
                                </w:rPr>
                              </w:pPr>
                            </w:p>
                            <w:p w14:paraId="3B5729B4"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9E7A7A3" w14:textId="77777777" w:rsidR="00476763" w:rsidRPr="00476763" w:rsidRDefault="00476763" w:rsidP="00476763">
                              <w:pPr>
                                <w:pStyle w:val="NormalWeb"/>
                                <w:contextualSpacing/>
                                <w:rPr>
                                  <w:rFonts w:ascii="Arial" w:hAnsi="Arial" w:cs="Arial"/>
                                  <w:sz w:val="16"/>
                                  <w:szCs w:val="16"/>
                                </w:rPr>
                              </w:pPr>
                            </w:p>
                            <w:p w14:paraId="6716CDB6"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You agree not to redistribute the Information to recipients not authorized by AssetMark.  You agree that the Providers </w:t>
                              </w:r>
                              <w:proofErr w:type="gramStart"/>
                              <w:r w:rsidRPr="00476763">
                                <w:rPr>
                                  <w:rFonts w:ascii="Arial" w:hAnsi="Arial" w:cs="Arial"/>
                                  <w:sz w:val="16"/>
                                  <w:szCs w:val="16"/>
                                </w:rPr>
                                <w:t>are considered to be</w:t>
                              </w:r>
                              <w:proofErr w:type="gramEnd"/>
                              <w:r w:rsidRPr="00476763">
                                <w:rPr>
                                  <w:rFonts w:ascii="Arial" w:hAnsi="Arial" w:cs="Arial"/>
                                  <w:sz w:val="16"/>
                                  <w:szCs w:val="16"/>
                                </w:rPr>
                                <w:t xml:space="preserve"> third-party beneficiaries of the Terms of Use.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62AABF26" w:rsidR="002F7F11" w:rsidRPr="00BF0CB7" w:rsidRDefault="00F57DC6" w:rsidP="00476763">
                              <w:pPr>
                                <w:pStyle w:val="NormalWeb"/>
                                <w:spacing w:before="0" w:beforeAutospacing="0"/>
                                <w:contextualSpacing/>
                                <w:rPr>
                                  <w:rFonts w:ascii="Arial" w:hAnsi="Arial" w:cs="Arial"/>
                                  <w:sz w:val="16"/>
                                  <w:szCs w:val="16"/>
                                </w:rPr>
                              </w:pPr>
                              <w:r w:rsidRPr="00F57DC6">
                                <w:rPr>
                                  <w:rFonts w:ascii="Arial" w:hAnsi="Arial" w:cs="Arial"/>
                                  <w:sz w:val="16"/>
                                  <w:szCs w:val="16"/>
                                </w:rPr>
                                <w:t>10334</w:t>
                              </w:r>
                              <w:r>
                                <w:rPr>
                                  <w:rFonts w:ascii="Arial" w:hAnsi="Arial" w:cs="Arial"/>
                                  <w:sz w:val="16"/>
                                  <w:szCs w:val="16"/>
                                </w:rPr>
                                <w:t>6</w:t>
                              </w:r>
                              <w:r w:rsidR="002F7F11" w:rsidRPr="001437D6">
                                <w:rPr>
                                  <w:rFonts w:ascii="Arial" w:hAnsi="Arial" w:cs="Arial"/>
                                  <w:sz w:val="16"/>
                                  <w:szCs w:val="16"/>
                                </w:rPr>
                                <w:t xml:space="preserve"> | </w:t>
                              </w:r>
                              <w:r w:rsidR="00E13EF0" w:rsidRPr="00E13EF0">
                                <w:rPr>
                                  <w:rFonts w:ascii="Arial" w:hAnsi="Arial" w:cs="Arial"/>
                                  <w:sz w:val="16"/>
                                  <w:szCs w:val="16"/>
                                </w:rPr>
                                <w:t>C22-18568</w:t>
                              </w:r>
                              <w:r w:rsidR="00E13EF0">
                                <w:rPr>
                                  <w:rFonts w:ascii="Arial" w:hAnsi="Arial" w:cs="Arial"/>
                                  <w:sz w:val="16"/>
                                  <w:szCs w:val="16"/>
                                </w:rPr>
                                <w:t xml:space="preserve"> </w:t>
                              </w:r>
                              <w:r w:rsidR="002F7F11" w:rsidRPr="001437D6">
                                <w:rPr>
                                  <w:rFonts w:ascii="Arial" w:hAnsi="Arial" w:cs="Arial"/>
                                  <w:sz w:val="16"/>
                                  <w:szCs w:val="16"/>
                                </w:rPr>
                                <w:t>| 0</w:t>
                              </w:r>
                              <w:r w:rsidR="0054164A">
                                <w:rPr>
                                  <w:rFonts w:ascii="Arial" w:hAnsi="Arial" w:cs="Arial"/>
                                  <w:sz w:val="16"/>
                                  <w:szCs w:val="16"/>
                                </w:rPr>
                                <w:t>3</w:t>
                              </w:r>
                              <w:r w:rsidR="002F7F11" w:rsidRPr="001437D6">
                                <w:rPr>
                                  <w:rFonts w:ascii="Arial" w:hAnsi="Arial" w:cs="Arial"/>
                                  <w:sz w:val="16"/>
                                  <w:szCs w:val="16"/>
                                </w:rPr>
                                <w:t>/202</w:t>
                              </w:r>
                              <w:r w:rsidR="00F67AD8" w:rsidRPr="001437D6">
                                <w:rPr>
                                  <w:rFonts w:ascii="Arial" w:hAnsi="Arial" w:cs="Arial"/>
                                  <w:sz w:val="16"/>
                                  <w:szCs w:val="16"/>
                                </w:rPr>
                                <w:t>2</w:t>
                              </w:r>
                              <w:r w:rsidR="002F7F11" w:rsidRPr="001437D6">
                                <w:rPr>
                                  <w:rFonts w:ascii="Arial" w:hAnsi="Arial" w:cs="Arial"/>
                                  <w:sz w:val="16"/>
                                  <w:szCs w:val="16"/>
                                </w:rPr>
                                <w:t xml:space="preserve"> | EXP 0</w:t>
                              </w:r>
                              <w:r w:rsidR="0054164A">
                                <w:rPr>
                                  <w:rFonts w:ascii="Arial" w:hAnsi="Arial" w:cs="Arial"/>
                                  <w:sz w:val="16"/>
                                  <w:szCs w:val="16"/>
                                </w:rPr>
                                <w:t>3</w:t>
                              </w:r>
                              <w:r w:rsidR="002F7F11" w:rsidRPr="001437D6">
                                <w:rPr>
                                  <w:rFonts w:ascii="Arial" w:hAnsi="Arial" w:cs="Arial"/>
                                  <w:sz w:val="16"/>
                                  <w:szCs w:val="16"/>
                                </w:rPr>
                                <w:t>/</w:t>
                              </w:r>
                              <w:r w:rsidR="0054164A">
                                <w:rPr>
                                  <w:rFonts w:ascii="Arial" w:hAnsi="Arial" w:cs="Arial"/>
                                  <w:sz w:val="16"/>
                                  <w:szCs w:val="16"/>
                                </w:rPr>
                                <w:t>31</w:t>
                              </w:r>
                              <w:r w:rsidR="002F7F11" w:rsidRPr="001437D6">
                                <w:rPr>
                                  <w:rFonts w:ascii="Arial" w:hAnsi="Arial" w:cs="Arial"/>
                                  <w:sz w:val="16"/>
                                  <w:szCs w:val="16"/>
                                </w:rPr>
                                <w:t>/202</w:t>
                              </w:r>
                              <w:r w:rsidR="00F67AD8" w:rsidRPr="001437D6">
                                <w:rPr>
                                  <w:rFonts w:ascii="Arial" w:hAnsi="Arial" w:cs="Arial"/>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1F3A9" id="Group 3" o:spid="_x0000_s1026" style="position:absolute;margin-left:-39pt;margin-top:193.05pt;width:545.5pt;height:439pt;z-index:251679744;mso-position-horizontal-relative:margin;mso-width-relative:margin;mso-height-relative:margin" coordsize="69278,2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">
                <v:group id="Group 21" o:spid="_x0000_s1027" style="position:absolute;width:69278;height:25275" coordorigin=",2998" coordsize="68580,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2998;width:68580;height:2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486;top:3195;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v:textbox>
                  </v:shape>
                </v:group>
                <v:shape id="Text Box 19" o:spid="_x0000_s1030" type="#_x0000_t202" style="position:absolute;left:13112;top:444;width:54178;height:2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2BC4DFA" w14:textId="77777777" w:rsidR="00476763" w:rsidRPr="00476763" w:rsidRDefault="00476763" w:rsidP="00476763">
                        <w:pPr>
                          <w:pStyle w:val="NormalWeb"/>
                          <w:contextualSpacing/>
                          <w:rPr>
                            <w:rFonts w:ascii="Arial" w:hAnsi="Arial" w:cs="Arial"/>
                            <w:sz w:val="16"/>
                            <w:szCs w:val="16"/>
                          </w:rPr>
                        </w:pPr>
                      </w:p>
                      <w:p w14:paraId="0D082ED7" w14:textId="3F17C769"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Please read the Terms of Use posted at </w:t>
                        </w:r>
                        <w:hyperlink r:id="rId16" w:history="1">
                          <w:r w:rsidR="009708E7" w:rsidRPr="009708E7">
                            <w:rPr>
                              <w:rStyle w:val="Hyperlink"/>
                              <w:rFonts w:ascii="Arial" w:hAnsi="Arial" w:cs="Arial"/>
                              <w:sz w:val="16"/>
                              <w:szCs w:val="16"/>
                            </w:rPr>
                            <w:t>www.ewealthmanager.com</w:t>
                          </w:r>
                        </w:hyperlink>
                        <w:r w:rsidR="009708E7">
                          <w:rPr>
                            <w:rFonts w:ascii="Arial" w:hAnsi="Arial" w:cs="Arial"/>
                            <w:sz w:val="20"/>
                            <w:szCs w:val="20"/>
                          </w:rPr>
                          <w:t xml:space="preserve"> </w:t>
                        </w:r>
                        <w:r w:rsidRPr="00476763">
                          <w:rPr>
                            <w:rFonts w:ascii="Arial" w:hAnsi="Arial" w:cs="Arial"/>
                            <w:sz w:val="16"/>
                            <w:szCs w:val="16"/>
                          </w:rPr>
                          <w:t xml:space="preserve">that govern the use of these materials </w:t>
                        </w:r>
                        <w:proofErr w:type="gramStart"/>
                        <w:r w:rsidRPr="00476763">
                          <w:rPr>
                            <w:rFonts w:ascii="Arial" w:hAnsi="Arial" w:cs="Arial"/>
                            <w:sz w:val="16"/>
                            <w:szCs w:val="16"/>
                          </w:rPr>
                          <w:t>and also</w:t>
                        </w:r>
                        <w:proofErr w:type="gramEnd"/>
                        <w:r w:rsidRPr="00476763">
                          <w:rPr>
                            <w:rFonts w:ascii="Arial" w:hAnsi="Arial" w:cs="Arial"/>
                            <w:sz w:val="16"/>
                            <w:szCs w:val="16"/>
                          </w:rPr>
                          <w:t xml:space="preserve"> be advised:</w:t>
                        </w:r>
                      </w:p>
                      <w:p w14:paraId="0DF9985F" w14:textId="77777777" w:rsidR="00476763" w:rsidRPr="00476763" w:rsidRDefault="00476763" w:rsidP="00476763">
                        <w:pPr>
                          <w:pStyle w:val="NormalWeb"/>
                          <w:contextualSpacing/>
                          <w:rPr>
                            <w:rFonts w:ascii="Arial" w:hAnsi="Arial" w:cs="Arial"/>
                            <w:sz w:val="16"/>
                            <w:szCs w:val="16"/>
                          </w:rPr>
                        </w:pPr>
                      </w:p>
                      <w:p w14:paraId="3B5729B4"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9E7A7A3" w14:textId="77777777" w:rsidR="00476763" w:rsidRPr="00476763" w:rsidRDefault="00476763" w:rsidP="00476763">
                        <w:pPr>
                          <w:pStyle w:val="NormalWeb"/>
                          <w:contextualSpacing/>
                          <w:rPr>
                            <w:rFonts w:ascii="Arial" w:hAnsi="Arial" w:cs="Arial"/>
                            <w:sz w:val="16"/>
                            <w:szCs w:val="16"/>
                          </w:rPr>
                        </w:pPr>
                      </w:p>
                      <w:p w14:paraId="6716CDB6"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You agree not to redistribute the Information to recipients not authorized by AssetMark.  You agree that the Providers </w:t>
                        </w:r>
                        <w:proofErr w:type="gramStart"/>
                        <w:r w:rsidRPr="00476763">
                          <w:rPr>
                            <w:rFonts w:ascii="Arial" w:hAnsi="Arial" w:cs="Arial"/>
                            <w:sz w:val="16"/>
                            <w:szCs w:val="16"/>
                          </w:rPr>
                          <w:t>are considered to be</w:t>
                        </w:r>
                        <w:proofErr w:type="gramEnd"/>
                        <w:r w:rsidRPr="00476763">
                          <w:rPr>
                            <w:rFonts w:ascii="Arial" w:hAnsi="Arial" w:cs="Arial"/>
                            <w:sz w:val="16"/>
                            <w:szCs w:val="16"/>
                          </w:rPr>
                          <w:t xml:space="preserve"> third-party beneficiaries of the Terms of Use.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62AABF26" w:rsidR="002F7F11" w:rsidRPr="00BF0CB7" w:rsidRDefault="00F57DC6" w:rsidP="00476763">
                        <w:pPr>
                          <w:pStyle w:val="NormalWeb"/>
                          <w:spacing w:before="0" w:beforeAutospacing="0"/>
                          <w:contextualSpacing/>
                          <w:rPr>
                            <w:rFonts w:ascii="Arial" w:hAnsi="Arial" w:cs="Arial"/>
                            <w:sz w:val="16"/>
                            <w:szCs w:val="16"/>
                          </w:rPr>
                        </w:pPr>
                        <w:r w:rsidRPr="00F57DC6">
                          <w:rPr>
                            <w:rFonts w:ascii="Arial" w:hAnsi="Arial" w:cs="Arial"/>
                            <w:sz w:val="16"/>
                            <w:szCs w:val="16"/>
                          </w:rPr>
                          <w:t>10334</w:t>
                        </w:r>
                        <w:r>
                          <w:rPr>
                            <w:rFonts w:ascii="Arial" w:hAnsi="Arial" w:cs="Arial"/>
                            <w:sz w:val="16"/>
                            <w:szCs w:val="16"/>
                          </w:rPr>
                          <w:t>6</w:t>
                        </w:r>
                        <w:r w:rsidR="002F7F11" w:rsidRPr="001437D6">
                          <w:rPr>
                            <w:rFonts w:ascii="Arial" w:hAnsi="Arial" w:cs="Arial"/>
                            <w:sz w:val="16"/>
                            <w:szCs w:val="16"/>
                          </w:rPr>
                          <w:t xml:space="preserve"> | </w:t>
                        </w:r>
                        <w:r w:rsidR="00E13EF0" w:rsidRPr="00E13EF0">
                          <w:rPr>
                            <w:rFonts w:ascii="Arial" w:hAnsi="Arial" w:cs="Arial"/>
                            <w:sz w:val="16"/>
                            <w:szCs w:val="16"/>
                          </w:rPr>
                          <w:t>C22-18568</w:t>
                        </w:r>
                        <w:r w:rsidR="00E13EF0">
                          <w:rPr>
                            <w:rFonts w:ascii="Arial" w:hAnsi="Arial" w:cs="Arial"/>
                            <w:sz w:val="16"/>
                            <w:szCs w:val="16"/>
                          </w:rPr>
                          <w:t xml:space="preserve"> </w:t>
                        </w:r>
                        <w:r w:rsidR="002F7F11" w:rsidRPr="001437D6">
                          <w:rPr>
                            <w:rFonts w:ascii="Arial" w:hAnsi="Arial" w:cs="Arial"/>
                            <w:sz w:val="16"/>
                            <w:szCs w:val="16"/>
                          </w:rPr>
                          <w:t>| 0</w:t>
                        </w:r>
                        <w:r w:rsidR="0054164A">
                          <w:rPr>
                            <w:rFonts w:ascii="Arial" w:hAnsi="Arial" w:cs="Arial"/>
                            <w:sz w:val="16"/>
                            <w:szCs w:val="16"/>
                          </w:rPr>
                          <w:t>3</w:t>
                        </w:r>
                        <w:r w:rsidR="002F7F11" w:rsidRPr="001437D6">
                          <w:rPr>
                            <w:rFonts w:ascii="Arial" w:hAnsi="Arial" w:cs="Arial"/>
                            <w:sz w:val="16"/>
                            <w:szCs w:val="16"/>
                          </w:rPr>
                          <w:t>/202</w:t>
                        </w:r>
                        <w:r w:rsidR="00F67AD8" w:rsidRPr="001437D6">
                          <w:rPr>
                            <w:rFonts w:ascii="Arial" w:hAnsi="Arial" w:cs="Arial"/>
                            <w:sz w:val="16"/>
                            <w:szCs w:val="16"/>
                          </w:rPr>
                          <w:t>2</w:t>
                        </w:r>
                        <w:r w:rsidR="002F7F11" w:rsidRPr="001437D6">
                          <w:rPr>
                            <w:rFonts w:ascii="Arial" w:hAnsi="Arial" w:cs="Arial"/>
                            <w:sz w:val="16"/>
                            <w:szCs w:val="16"/>
                          </w:rPr>
                          <w:t xml:space="preserve"> | EXP 0</w:t>
                        </w:r>
                        <w:r w:rsidR="0054164A">
                          <w:rPr>
                            <w:rFonts w:ascii="Arial" w:hAnsi="Arial" w:cs="Arial"/>
                            <w:sz w:val="16"/>
                            <w:szCs w:val="16"/>
                          </w:rPr>
                          <w:t>3</w:t>
                        </w:r>
                        <w:r w:rsidR="002F7F11" w:rsidRPr="001437D6">
                          <w:rPr>
                            <w:rFonts w:ascii="Arial" w:hAnsi="Arial" w:cs="Arial"/>
                            <w:sz w:val="16"/>
                            <w:szCs w:val="16"/>
                          </w:rPr>
                          <w:t>/</w:t>
                        </w:r>
                        <w:r w:rsidR="0054164A">
                          <w:rPr>
                            <w:rFonts w:ascii="Arial" w:hAnsi="Arial" w:cs="Arial"/>
                            <w:sz w:val="16"/>
                            <w:szCs w:val="16"/>
                          </w:rPr>
                          <w:t>31</w:t>
                        </w:r>
                        <w:r w:rsidR="002F7F11" w:rsidRPr="001437D6">
                          <w:rPr>
                            <w:rFonts w:ascii="Arial" w:hAnsi="Arial" w:cs="Arial"/>
                            <w:sz w:val="16"/>
                            <w:szCs w:val="16"/>
                          </w:rPr>
                          <w:t>/202</w:t>
                        </w:r>
                        <w:r w:rsidR="00F67AD8" w:rsidRPr="001437D6">
                          <w:rPr>
                            <w:rFonts w:ascii="Arial" w:hAnsi="Arial" w:cs="Arial"/>
                            <w:sz w:val="16"/>
                            <w:szCs w:val="16"/>
                          </w:rPr>
                          <w:t>4</w:t>
                        </w:r>
                      </w:p>
                    </w:txbxContent>
                  </v:textbox>
                </v:shape>
                <w10:wrap type="topAndBottom" anchorx="margin"/>
              </v:group>
            </w:pict>
          </mc:Fallback>
        </mc:AlternateContent>
      </w:r>
    </w:p>
    <w:sectPr w:rsidR="003A27B5" w:rsidRPr="0040163B" w:rsidSect="006A6909">
      <w:headerReference w:type="default" r:id="rId17"/>
      <w:footerReference w:type="even" r:id="rId18"/>
      <w:footerReference w:type="default" r:id="rId19"/>
      <w:headerReference w:type="first" r:id="rId20"/>
      <w:footerReference w:type="first" r:id="rId21"/>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123F6" w14:textId="77777777" w:rsidR="00414035" w:rsidRDefault="00414035" w:rsidP="005C1D70">
      <w:pPr>
        <w:spacing w:after="0" w:line="240" w:lineRule="auto"/>
      </w:pPr>
      <w:r>
        <w:separator/>
      </w:r>
    </w:p>
  </w:endnote>
  <w:endnote w:type="continuationSeparator" w:id="0">
    <w:p w14:paraId="76199390" w14:textId="77777777" w:rsidR="00414035" w:rsidRDefault="00414035" w:rsidP="005C1D70">
      <w:pPr>
        <w:spacing w:after="0" w:line="240" w:lineRule="auto"/>
      </w:pPr>
      <w:r>
        <w:continuationSeparator/>
      </w:r>
    </w:p>
  </w:endnote>
  <w:endnote w:id="1">
    <w:p w14:paraId="10C51966" w14:textId="77777777" w:rsidR="004A3AEE" w:rsidRPr="00171655" w:rsidRDefault="004A3AEE" w:rsidP="004A3AEE">
      <w:pPr>
        <w:pStyle w:val="EndnoteText"/>
        <w:rPr>
          <w:rFonts w:ascii="Arial" w:hAnsi="Arial" w:cs="Arial"/>
          <w:sz w:val="16"/>
          <w:szCs w:val="16"/>
        </w:rPr>
      </w:pPr>
      <w:r w:rsidRPr="00171655">
        <w:rPr>
          <w:rStyle w:val="EndnoteReference"/>
          <w:rFonts w:ascii="Arial" w:hAnsi="Arial" w:cs="Arial"/>
          <w:sz w:val="16"/>
          <w:szCs w:val="16"/>
        </w:rPr>
        <w:endnoteRef/>
      </w:r>
      <w:r w:rsidRPr="00171655">
        <w:rPr>
          <w:rFonts w:ascii="Arial" w:hAnsi="Arial" w:cs="Arial"/>
          <w:sz w:val="16"/>
          <w:szCs w:val="16"/>
        </w:rPr>
        <w:t xml:space="preserve"> https://www.etfstream.com/news/msci-considers-blanket-removal-of-russia-across-indices/#:~:text=Russia%20currently%20accounts%20for%20roughly,0.3%25%20of%20its%20global%20benchmarks.</w:t>
      </w:r>
    </w:p>
  </w:endnote>
  <w:endnote w:id="2">
    <w:p w14:paraId="746C096F" w14:textId="77777777" w:rsidR="004A3AEE" w:rsidRPr="00171655" w:rsidRDefault="004A3AEE" w:rsidP="004A3AEE">
      <w:pPr>
        <w:pStyle w:val="EndnoteText"/>
        <w:rPr>
          <w:rFonts w:ascii="Arial" w:hAnsi="Arial" w:cs="Arial"/>
          <w:sz w:val="16"/>
          <w:szCs w:val="16"/>
        </w:rPr>
      </w:pPr>
      <w:r w:rsidRPr="00171655">
        <w:rPr>
          <w:rStyle w:val="EndnoteReference"/>
          <w:rFonts w:ascii="Arial" w:hAnsi="Arial" w:cs="Arial"/>
          <w:sz w:val="16"/>
          <w:szCs w:val="16"/>
        </w:rPr>
        <w:endnoteRef/>
      </w:r>
      <w:r w:rsidRPr="00171655">
        <w:rPr>
          <w:rFonts w:ascii="Arial" w:hAnsi="Arial" w:cs="Arial"/>
          <w:sz w:val="16"/>
          <w:szCs w:val="16"/>
        </w:rPr>
        <w:t xml:space="preserve"> </w:t>
      </w:r>
      <w:hyperlink r:id="rId1" w:history="1">
        <w:r w:rsidRPr="00171655">
          <w:rPr>
            <w:rStyle w:val="Hyperlink"/>
            <w:rFonts w:ascii="Arial" w:hAnsi="Arial" w:cs="Arial"/>
            <w:sz w:val="16"/>
            <w:szCs w:val="16"/>
          </w:rPr>
          <w:t>Oil Prices for Feb. 25, 2022: Brent Crude, WTI - Bloomberg</w:t>
        </w:r>
      </w:hyperlink>
    </w:p>
  </w:endnote>
  <w:endnote w:id="3">
    <w:p w14:paraId="6FB2EE0B" w14:textId="77777777" w:rsidR="004A3AEE" w:rsidRPr="00171655" w:rsidRDefault="004A3AEE" w:rsidP="004A3AEE">
      <w:pPr>
        <w:pStyle w:val="EndnoteText"/>
        <w:rPr>
          <w:rFonts w:ascii="Arial" w:hAnsi="Arial" w:cs="Arial"/>
          <w:sz w:val="16"/>
          <w:szCs w:val="16"/>
        </w:rPr>
      </w:pPr>
      <w:r w:rsidRPr="00171655">
        <w:rPr>
          <w:rStyle w:val="EndnoteReference"/>
          <w:rFonts w:ascii="Arial" w:hAnsi="Arial" w:cs="Arial"/>
          <w:sz w:val="16"/>
          <w:szCs w:val="16"/>
        </w:rPr>
        <w:endnoteRef/>
      </w:r>
      <w:r w:rsidRPr="00171655">
        <w:rPr>
          <w:rFonts w:ascii="Arial" w:hAnsi="Arial" w:cs="Arial"/>
          <w:sz w:val="16"/>
          <w:szCs w:val="16"/>
        </w:rPr>
        <w:t xml:space="preserve"> https://www.iea.org/reports/russian-supplies-to-global-energy-markets/oil-market-and-russian-supply-2</w:t>
      </w:r>
    </w:p>
  </w:endnote>
  <w:endnote w:id="4">
    <w:p w14:paraId="3E630C9D" w14:textId="77777777" w:rsidR="004A3AEE" w:rsidRDefault="004A3AEE" w:rsidP="004A3AEE">
      <w:pPr>
        <w:pStyle w:val="EndnoteText"/>
        <w:rPr>
          <w:rStyle w:val="Hyperlink"/>
          <w:rFonts w:ascii="Arial" w:hAnsi="Arial" w:cs="Arial"/>
          <w:sz w:val="16"/>
          <w:szCs w:val="16"/>
        </w:rPr>
      </w:pPr>
      <w:r w:rsidRPr="00171655">
        <w:rPr>
          <w:rStyle w:val="EndnoteReference"/>
          <w:rFonts w:ascii="Arial" w:hAnsi="Arial" w:cs="Arial"/>
          <w:sz w:val="16"/>
          <w:szCs w:val="16"/>
        </w:rPr>
        <w:endnoteRef/>
      </w:r>
      <w:r w:rsidRPr="00171655">
        <w:rPr>
          <w:rFonts w:ascii="Arial" w:hAnsi="Arial" w:cs="Arial"/>
          <w:sz w:val="16"/>
          <w:szCs w:val="16"/>
        </w:rPr>
        <w:t xml:space="preserve"> </w:t>
      </w:r>
      <w:hyperlink r:id="rId2" w:history="1">
        <w:r w:rsidRPr="00171655">
          <w:rPr>
            <w:rStyle w:val="Hyperlink"/>
            <w:rFonts w:ascii="Arial" w:hAnsi="Arial" w:cs="Arial"/>
            <w:sz w:val="16"/>
            <w:szCs w:val="16"/>
          </w:rPr>
          <w:t>February 2022 Review and Outlook | Nasdaq</w:t>
        </w:r>
      </w:hyperlink>
    </w:p>
    <w:p w14:paraId="78E7BD2C" w14:textId="77777777" w:rsidR="004A3AEE" w:rsidRDefault="004A3AEE" w:rsidP="004A3AEE">
      <w:pPr>
        <w:pStyle w:val="EndnoteText"/>
      </w:pPr>
    </w:p>
    <w:p w14:paraId="6D512E87" w14:textId="77777777" w:rsidR="004A3AEE" w:rsidRDefault="004A3AEE" w:rsidP="004A3AEE">
      <w:pPr>
        <w:pStyle w:val="EndnoteText"/>
      </w:pPr>
    </w:p>
    <w:p w14:paraId="5E72E076" w14:textId="77777777" w:rsidR="004A3AEE" w:rsidRDefault="004A3AEE" w:rsidP="004A3AEE">
      <w:pPr>
        <w:pStyle w:val="EndnoteText"/>
      </w:pPr>
    </w:p>
    <w:p w14:paraId="7819EC99" w14:textId="77777777" w:rsidR="004A3AEE" w:rsidRDefault="004A3AEE" w:rsidP="004A3AEE">
      <w:pPr>
        <w:pStyle w:val="EndnoteText"/>
      </w:pPr>
    </w:p>
    <w:p w14:paraId="1596B2B4" w14:textId="77777777" w:rsidR="004A3AEE" w:rsidRDefault="004A3AEE" w:rsidP="004A3AEE">
      <w:pPr>
        <w:pStyle w:val="EndnoteText"/>
      </w:pPr>
    </w:p>
    <w:p w14:paraId="51526673" w14:textId="77777777" w:rsidR="004A3AEE" w:rsidRDefault="004A3AEE" w:rsidP="004A3AEE">
      <w:pPr>
        <w:pStyle w:val="EndnoteText"/>
      </w:pPr>
    </w:p>
    <w:p w14:paraId="6131396B" w14:textId="77777777" w:rsidR="004A3AEE" w:rsidRDefault="004A3AEE" w:rsidP="004A3AEE">
      <w:pPr>
        <w:pStyle w:val="EndnoteText"/>
      </w:pPr>
    </w:p>
    <w:p w14:paraId="22EF88B1" w14:textId="77777777" w:rsidR="004A3AEE" w:rsidRDefault="004A3AEE" w:rsidP="004A3AEE">
      <w:pPr>
        <w:pStyle w:val="EndnoteText"/>
      </w:pPr>
    </w:p>
    <w:p w14:paraId="6D2A74F8" w14:textId="77777777" w:rsidR="004A3AEE" w:rsidRDefault="004A3AEE" w:rsidP="004A3AE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8A7B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sidR="004E0827">
                            <w:rPr>
                              <w:rFonts w:ascii="Arial" w:hAnsi="Arial" w:cs="Arial"/>
                              <w:color w:val="767171" w:themeColor="background2" w:themeShade="80"/>
                              <w:sz w:val="20"/>
                              <w:szCs w:val="36"/>
                            </w:rPr>
                            <w:t>general public</w:t>
                          </w:r>
                          <w:proofErr w:type="gramEnd"/>
                          <w:r w:rsidR="004E0827">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sidR="004E0827">
                      <w:rPr>
                        <w:rFonts w:ascii="Arial" w:hAnsi="Arial" w:cs="Arial"/>
                        <w:color w:val="767171" w:themeColor="background2" w:themeShade="80"/>
                        <w:sz w:val="20"/>
                        <w:szCs w:val="36"/>
                      </w:rPr>
                      <w:t>general public</w:t>
                    </w:r>
                    <w:proofErr w:type="gramEnd"/>
                    <w:r w:rsidR="004E0827">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3BDD3"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306EA383" w:rsidR="00996FBD" w:rsidRDefault="00FE3FBC"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Pr>
                              <w:rFonts w:ascii="Arial" w:hAnsi="Arial" w:cs="Arial"/>
                              <w:color w:val="767171" w:themeColor="background2" w:themeShade="80"/>
                              <w:sz w:val="20"/>
                              <w:szCs w:val="36"/>
                            </w:rPr>
                            <w:t>general public</w:t>
                          </w:r>
                          <w:proofErr w:type="gramEnd"/>
                          <w:r>
                            <w:rPr>
                              <w:rFonts w:ascii="Arial" w:hAnsi="Arial" w:cs="Arial"/>
                              <w:color w:val="767171" w:themeColor="background2" w:themeShade="80"/>
                              <w:sz w:val="20"/>
                              <w:szCs w:val="36"/>
                            </w:rPr>
                            <w:t xml:space="preserve">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5p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eBuxJkW&#10;DThaq86zr9QxmIBPa9wUYSuDQN/Bjtiz3cEYxu5K24QvBmLwA+njBd2QTcKYjdJJeoMqEr5skl2P&#10;IvzJ221jnf+mqGFByLkFexFUcXh0Hp0g9BwSimlaVnUdGaw1a3N+NZoM44WLBzdqjYthhr7XIPlu&#10;08WZx+c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KG5eaTECAABWBAAADgAAAAAAAAAAAAAA&#10;AAAuAgAAZHJzL2Uyb0RvYy54bWxQSwECLQAUAAYACAAAACEAWXoqZ+IAAAAJAQAADwAAAAAAAAAA&#10;AAAAAACLBAAAZHJzL2Rvd25yZXYueG1sUEsFBgAAAAAEAAQA8wAAAJoFAAAAAA==&#10;" filled="f" stroked="f" strokeweight=".5pt">
              <v:textbox inset="0">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Pr>
                        <w:rFonts w:ascii="Arial" w:hAnsi="Arial" w:cs="Arial"/>
                        <w:color w:val="767171" w:themeColor="background2" w:themeShade="80"/>
                        <w:sz w:val="20"/>
                        <w:szCs w:val="36"/>
                      </w:rPr>
                      <w:t>general public</w:t>
                    </w:r>
                    <w:proofErr w:type="gramEnd"/>
                    <w:r>
                      <w:rPr>
                        <w:rFonts w:ascii="Arial" w:hAnsi="Arial" w:cs="Arial"/>
                        <w:color w:val="767171" w:themeColor="background2" w:themeShade="80"/>
                        <w:sz w:val="20"/>
                        <w:szCs w:val="36"/>
                      </w:rPr>
                      <w:t xml:space="preserve">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89586"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D54AD" w14:textId="77777777" w:rsidR="00414035" w:rsidRDefault="00414035" w:rsidP="005C1D70">
      <w:pPr>
        <w:spacing w:after="0" w:line="240" w:lineRule="auto"/>
      </w:pPr>
      <w:r>
        <w:separator/>
      </w:r>
    </w:p>
  </w:footnote>
  <w:footnote w:type="continuationSeparator" w:id="0">
    <w:p w14:paraId="40BEF562" w14:textId="77777777" w:rsidR="00414035" w:rsidRDefault="00414035"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BE9DF"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0E64" w14:textId="77777777" w:rsidR="0037202D" w:rsidRDefault="0037202D" w:rsidP="0037202D">
    <w:pPr>
      <w:pStyle w:val="Header"/>
    </w:pPr>
    <w:r w:rsidRPr="00996FBD">
      <w:rPr>
        <w:noProof/>
      </w:rPr>
      <mc:AlternateContent>
        <mc:Choice Requires="wps">
          <w:drawing>
            <wp:anchor distT="0" distB="0" distL="114300" distR="114300" simplePos="0" relativeHeight="251683840" behindDoc="0" locked="0" layoutInCell="1" allowOverlap="1" wp14:anchorId="69C3EC04" wp14:editId="1C423F8E">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9C0C563" w14:textId="4E74B6EE" w:rsidR="0037202D" w:rsidRPr="0037202D" w:rsidRDefault="003C1DEF" w:rsidP="0037202D">
                          <w:pPr>
                            <w:rPr>
                              <w:rFonts w:ascii="Arial" w:hAnsi="Arial" w:cs="Arial"/>
                              <w:sz w:val="18"/>
                            </w:rPr>
                          </w:pPr>
                          <w:r>
                            <w:rPr>
                              <w:rFonts w:ascii="Arial" w:hAnsi="Arial" w:cs="Arial"/>
                            </w:rPr>
                            <w:t>Februar</w:t>
                          </w:r>
                          <w:r w:rsidR="00F27D3C">
                            <w:rPr>
                              <w:rFonts w:ascii="Arial" w:hAnsi="Arial" w:cs="Arial"/>
                            </w:rPr>
                            <w:t>y</w:t>
                          </w:r>
                          <w:r w:rsidR="0037202D">
                            <w:rPr>
                              <w:rFonts w:ascii="Arial" w:hAnsi="Arial" w:cs="Arial"/>
                            </w:rPr>
                            <w:t xml:space="preserve"> 2</w:t>
                          </w:r>
                          <w:r w:rsidR="00D31089">
                            <w:rPr>
                              <w:rFonts w:ascii="Arial" w:hAnsi="Arial" w:cs="Arial"/>
                            </w:rPr>
                            <w:t>02</w:t>
                          </w:r>
                          <w:r w:rsidR="00F27D3C">
                            <w:rPr>
                              <w:rFonts w:ascii="Arial" w:hAnsi="Arial" w:cs="Arial"/>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EC04"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" filled="f" stroked="f" strokeweight=".5pt">
              <v:textbox inset="0">
                <w:txbxContent>
                  <w:p w14:paraId="69C0C563" w14:textId="4E74B6EE" w:rsidR="0037202D" w:rsidRPr="0037202D" w:rsidRDefault="003C1DEF" w:rsidP="0037202D">
                    <w:pPr>
                      <w:rPr>
                        <w:rFonts w:ascii="Arial" w:hAnsi="Arial" w:cs="Arial"/>
                        <w:sz w:val="18"/>
                      </w:rPr>
                    </w:pPr>
                    <w:r>
                      <w:rPr>
                        <w:rFonts w:ascii="Arial" w:hAnsi="Arial" w:cs="Arial"/>
                      </w:rPr>
                      <w:t>Februar</w:t>
                    </w:r>
                    <w:r w:rsidR="00F27D3C">
                      <w:rPr>
                        <w:rFonts w:ascii="Arial" w:hAnsi="Arial" w:cs="Arial"/>
                      </w:rPr>
                      <w:t>y</w:t>
                    </w:r>
                    <w:r w:rsidR="0037202D">
                      <w:rPr>
                        <w:rFonts w:ascii="Arial" w:hAnsi="Arial" w:cs="Arial"/>
                      </w:rPr>
                      <w:t xml:space="preserve"> 2</w:t>
                    </w:r>
                    <w:r w:rsidR="00D31089">
                      <w:rPr>
                        <w:rFonts w:ascii="Arial" w:hAnsi="Arial" w:cs="Arial"/>
                      </w:rPr>
                      <w:t>02</w:t>
                    </w:r>
                    <w:r w:rsidR="00F27D3C">
                      <w:rPr>
                        <w:rFonts w:ascii="Arial" w:hAnsi="Arial" w:cs="Arial"/>
                      </w:rPr>
                      <w:t>2</w:t>
                    </w:r>
                  </w:p>
                </w:txbxContent>
              </v:textbox>
            </v:shape>
          </w:pict>
        </mc:Fallback>
      </mc:AlternateContent>
    </w:r>
    <w:r w:rsidRPr="00996FBD">
      <w:rPr>
        <w:noProof/>
      </w:rPr>
      <mc:AlternateContent>
        <mc:Choice Requires="wps">
          <w:drawing>
            <wp:anchor distT="0" distB="0" distL="114300" distR="114300" simplePos="0" relativeHeight="251682816" behindDoc="0" locked="0" layoutInCell="1" allowOverlap="1" wp14:anchorId="348CE5DB" wp14:editId="1C5AD009">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E5DB" id="Text Box 9" o:spid="_x0000_s1034" type="#_x0000_t202" style="position:absolute;margin-left:-35.55pt;margin-top:36pt;width:378.3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v:textbox>
            </v:shape>
          </w:pict>
        </mc:Fallback>
      </mc:AlternateContent>
    </w:r>
    <w:r w:rsidRPr="00996FBD">
      <w:rPr>
        <w:noProof/>
      </w:rPr>
      <mc:AlternateContent>
        <mc:Choice Requires="wps">
          <w:drawing>
            <wp:anchor distT="0" distB="0" distL="114300" distR="114300" simplePos="0" relativeHeight="251681792" behindDoc="0" locked="0" layoutInCell="1" allowOverlap="1" wp14:anchorId="62EBBC10" wp14:editId="089AA701">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3A126" id="Rectangle 8" o:spid="_x0000_s1026" style="position:absolute;margin-left:-71.2pt;margin-top:98.45pt;width:612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p w14:paraId="512E40EC" w14:textId="77777777" w:rsidR="0037202D" w:rsidRPr="0037202D" w:rsidRDefault="0037202D" w:rsidP="0037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Y2NzE2MjYxMjZX0lEKTi0uzszPAykwrgUAFKwCGywAAAA="/>
    <w:docVar w:name="APWAFNeedToUniquify" w:val="false"/>
    <w:docVar w:name="APWAFVersion" w:val="5.0"/>
  </w:docVars>
  <w:rsids>
    <w:rsidRoot w:val="005C1D70"/>
    <w:rsid w:val="000019A6"/>
    <w:rsid w:val="0000260F"/>
    <w:rsid w:val="00005BBE"/>
    <w:rsid w:val="0000769F"/>
    <w:rsid w:val="00007A7E"/>
    <w:rsid w:val="00010B74"/>
    <w:rsid w:val="000112B7"/>
    <w:rsid w:val="00011A53"/>
    <w:rsid w:val="00011C41"/>
    <w:rsid w:val="000131D4"/>
    <w:rsid w:val="00015BBE"/>
    <w:rsid w:val="00016A13"/>
    <w:rsid w:val="00016B9E"/>
    <w:rsid w:val="000206C0"/>
    <w:rsid w:val="00023599"/>
    <w:rsid w:val="000240EF"/>
    <w:rsid w:val="000242F4"/>
    <w:rsid w:val="00024439"/>
    <w:rsid w:val="00025503"/>
    <w:rsid w:val="00025D22"/>
    <w:rsid w:val="0003017C"/>
    <w:rsid w:val="00030ECA"/>
    <w:rsid w:val="0003376F"/>
    <w:rsid w:val="0003567F"/>
    <w:rsid w:val="000371DC"/>
    <w:rsid w:val="00041620"/>
    <w:rsid w:val="00042E23"/>
    <w:rsid w:val="000430A6"/>
    <w:rsid w:val="00045057"/>
    <w:rsid w:val="00051F5A"/>
    <w:rsid w:val="000525E5"/>
    <w:rsid w:val="00053EFC"/>
    <w:rsid w:val="00054C1C"/>
    <w:rsid w:val="00066B89"/>
    <w:rsid w:val="0007798A"/>
    <w:rsid w:val="00081251"/>
    <w:rsid w:val="00081973"/>
    <w:rsid w:val="00082B41"/>
    <w:rsid w:val="00090399"/>
    <w:rsid w:val="0009147A"/>
    <w:rsid w:val="0009187A"/>
    <w:rsid w:val="00091B63"/>
    <w:rsid w:val="000929C4"/>
    <w:rsid w:val="00092E4D"/>
    <w:rsid w:val="00094A2D"/>
    <w:rsid w:val="000966B3"/>
    <w:rsid w:val="00096F2C"/>
    <w:rsid w:val="000A165A"/>
    <w:rsid w:val="000A2ED9"/>
    <w:rsid w:val="000A5A3C"/>
    <w:rsid w:val="000A7488"/>
    <w:rsid w:val="000A7E8D"/>
    <w:rsid w:val="000B0791"/>
    <w:rsid w:val="000B19DD"/>
    <w:rsid w:val="000B1D36"/>
    <w:rsid w:val="000B2834"/>
    <w:rsid w:val="000B3F75"/>
    <w:rsid w:val="000B4C97"/>
    <w:rsid w:val="000B540D"/>
    <w:rsid w:val="000C049C"/>
    <w:rsid w:val="000C06AC"/>
    <w:rsid w:val="000C1F1A"/>
    <w:rsid w:val="000C24C5"/>
    <w:rsid w:val="000C4AB5"/>
    <w:rsid w:val="000C4D71"/>
    <w:rsid w:val="000C698E"/>
    <w:rsid w:val="000C739F"/>
    <w:rsid w:val="000D0736"/>
    <w:rsid w:val="000D23E8"/>
    <w:rsid w:val="000D25A4"/>
    <w:rsid w:val="000D2EE5"/>
    <w:rsid w:val="000D4110"/>
    <w:rsid w:val="000D4E54"/>
    <w:rsid w:val="000D5016"/>
    <w:rsid w:val="000D5AF4"/>
    <w:rsid w:val="000D72DA"/>
    <w:rsid w:val="000D76AB"/>
    <w:rsid w:val="000E02C0"/>
    <w:rsid w:val="000E10AE"/>
    <w:rsid w:val="000E31F0"/>
    <w:rsid w:val="000E345D"/>
    <w:rsid w:val="000E36C6"/>
    <w:rsid w:val="000E4CDF"/>
    <w:rsid w:val="000E5F02"/>
    <w:rsid w:val="000E6691"/>
    <w:rsid w:val="000E72AF"/>
    <w:rsid w:val="000F051F"/>
    <w:rsid w:val="000F158F"/>
    <w:rsid w:val="000F4301"/>
    <w:rsid w:val="000F5D04"/>
    <w:rsid w:val="000F6A69"/>
    <w:rsid w:val="000F79F4"/>
    <w:rsid w:val="000F7DAD"/>
    <w:rsid w:val="00100FC7"/>
    <w:rsid w:val="0010194E"/>
    <w:rsid w:val="00101B62"/>
    <w:rsid w:val="00101E87"/>
    <w:rsid w:val="0010785C"/>
    <w:rsid w:val="00112281"/>
    <w:rsid w:val="001142B7"/>
    <w:rsid w:val="00114CA7"/>
    <w:rsid w:val="00117FBC"/>
    <w:rsid w:val="00120228"/>
    <w:rsid w:val="0012078C"/>
    <w:rsid w:val="00120D18"/>
    <w:rsid w:val="001220AD"/>
    <w:rsid w:val="00126D79"/>
    <w:rsid w:val="001318F1"/>
    <w:rsid w:val="00133681"/>
    <w:rsid w:val="00135076"/>
    <w:rsid w:val="00135AE9"/>
    <w:rsid w:val="0013691A"/>
    <w:rsid w:val="00137F05"/>
    <w:rsid w:val="00140B3E"/>
    <w:rsid w:val="001437D6"/>
    <w:rsid w:val="0014506F"/>
    <w:rsid w:val="0015043F"/>
    <w:rsid w:val="00150B19"/>
    <w:rsid w:val="00151D69"/>
    <w:rsid w:val="001649B9"/>
    <w:rsid w:val="00174514"/>
    <w:rsid w:val="00174990"/>
    <w:rsid w:val="00175576"/>
    <w:rsid w:val="00175F3F"/>
    <w:rsid w:val="00176A6B"/>
    <w:rsid w:val="001779A9"/>
    <w:rsid w:val="00184874"/>
    <w:rsid w:val="001859E9"/>
    <w:rsid w:val="001867A3"/>
    <w:rsid w:val="00192D1F"/>
    <w:rsid w:val="00194BC0"/>
    <w:rsid w:val="0019560C"/>
    <w:rsid w:val="00196F86"/>
    <w:rsid w:val="001A07B6"/>
    <w:rsid w:val="001A1863"/>
    <w:rsid w:val="001A42D1"/>
    <w:rsid w:val="001A57E4"/>
    <w:rsid w:val="001A6654"/>
    <w:rsid w:val="001B0603"/>
    <w:rsid w:val="001B1060"/>
    <w:rsid w:val="001B109A"/>
    <w:rsid w:val="001B2683"/>
    <w:rsid w:val="001B37C3"/>
    <w:rsid w:val="001B3C5E"/>
    <w:rsid w:val="001B49C8"/>
    <w:rsid w:val="001B5EFB"/>
    <w:rsid w:val="001B62EA"/>
    <w:rsid w:val="001B6B17"/>
    <w:rsid w:val="001B6F67"/>
    <w:rsid w:val="001C0C09"/>
    <w:rsid w:val="001C2718"/>
    <w:rsid w:val="001C403B"/>
    <w:rsid w:val="001D0F27"/>
    <w:rsid w:val="001D1C5C"/>
    <w:rsid w:val="001D28D0"/>
    <w:rsid w:val="001D29C3"/>
    <w:rsid w:val="001D2EDE"/>
    <w:rsid w:val="001D41CD"/>
    <w:rsid w:val="001D5914"/>
    <w:rsid w:val="001D5AEF"/>
    <w:rsid w:val="001D5D2F"/>
    <w:rsid w:val="001D6BC2"/>
    <w:rsid w:val="001D7A8E"/>
    <w:rsid w:val="001D7C01"/>
    <w:rsid w:val="001E1073"/>
    <w:rsid w:val="001E21E7"/>
    <w:rsid w:val="001E3BDA"/>
    <w:rsid w:val="001E3C1A"/>
    <w:rsid w:val="001E4456"/>
    <w:rsid w:val="001E4E23"/>
    <w:rsid w:val="001E581D"/>
    <w:rsid w:val="001E5CB7"/>
    <w:rsid w:val="001E71B3"/>
    <w:rsid w:val="001F06B2"/>
    <w:rsid w:val="001F0ADB"/>
    <w:rsid w:val="001F2BF8"/>
    <w:rsid w:val="001F5138"/>
    <w:rsid w:val="001F51C9"/>
    <w:rsid w:val="002005D2"/>
    <w:rsid w:val="002037A8"/>
    <w:rsid w:val="002048C9"/>
    <w:rsid w:val="00205777"/>
    <w:rsid w:val="002077B7"/>
    <w:rsid w:val="00207A30"/>
    <w:rsid w:val="00210021"/>
    <w:rsid w:val="00213810"/>
    <w:rsid w:val="00213950"/>
    <w:rsid w:val="00215800"/>
    <w:rsid w:val="00216342"/>
    <w:rsid w:val="00217E04"/>
    <w:rsid w:val="00220328"/>
    <w:rsid w:val="00220666"/>
    <w:rsid w:val="00220E56"/>
    <w:rsid w:val="002220C2"/>
    <w:rsid w:val="00225D97"/>
    <w:rsid w:val="002276A3"/>
    <w:rsid w:val="00227DDC"/>
    <w:rsid w:val="00230680"/>
    <w:rsid w:val="00232B8E"/>
    <w:rsid w:val="00235DA5"/>
    <w:rsid w:val="00236820"/>
    <w:rsid w:val="002401F6"/>
    <w:rsid w:val="00240C3F"/>
    <w:rsid w:val="002417A8"/>
    <w:rsid w:val="00241BAE"/>
    <w:rsid w:val="00243C06"/>
    <w:rsid w:val="002453BF"/>
    <w:rsid w:val="00245B44"/>
    <w:rsid w:val="002464B2"/>
    <w:rsid w:val="0024750F"/>
    <w:rsid w:val="00247852"/>
    <w:rsid w:val="002518A8"/>
    <w:rsid w:val="00255E94"/>
    <w:rsid w:val="00255EB5"/>
    <w:rsid w:val="00256320"/>
    <w:rsid w:val="00256F12"/>
    <w:rsid w:val="002578AC"/>
    <w:rsid w:val="0026106D"/>
    <w:rsid w:val="00261B59"/>
    <w:rsid w:val="00262F13"/>
    <w:rsid w:val="0026361E"/>
    <w:rsid w:val="00272AF5"/>
    <w:rsid w:val="0027410D"/>
    <w:rsid w:val="0027433B"/>
    <w:rsid w:val="00274534"/>
    <w:rsid w:val="00275EBE"/>
    <w:rsid w:val="00280A79"/>
    <w:rsid w:val="00281338"/>
    <w:rsid w:val="00281444"/>
    <w:rsid w:val="002815AB"/>
    <w:rsid w:val="00282274"/>
    <w:rsid w:val="00282A2B"/>
    <w:rsid w:val="00283686"/>
    <w:rsid w:val="00284562"/>
    <w:rsid w:val="00284AA4"/>
    <w:rsid w:val="002859EB"/>
    <w:rsid w:val="00290B7F"/>
    <w:rsid w:val="00291044"/>
    <w:rsid w:val="0029313A"/>
    <w:rsid w:val="00293B4E"/>
    <w:rsid w:val="00296183"/>
    <w:rsid w:val="002973E5"/>
    <w:rsid w:val="00297E82"/>
    <w:rsid w:val="002A1561"/>
    <w:rsid w:val="002A461C"/>
    <w:rsid w:val="002A773F"/>
    <w:rsid w:val="002B05C8"/>
    <w:rsid w:val="002C02AF"/>
    <w:rsid w:val="002D05E4"/>
    <w:rsid w:val="002D22E8"/>
    <w:rsid w:val="002D2320"/>
    <w:rsid w:val="002D37C9"/>
    <w:rsid w:val="002D4F15"/>
    <w:rsid w:val="002D50C3"/>
    <w:rsid w:val="002D792A"/>
    <w:rsid w:val="002D7DC5"/>
    <w:rsid w:val="002E0A7B"/>
    <w:rsid w:val="002E433C"/>
    <w:rsid w:val="002E4898"/>
    <w:rsid w:val="002E508A"/>
    <w:rsid w:val="002E50EA"/>
    <w:rsid w:val="002E6AFD"/>
    <w:rsid w:val="002E6E8A"/>
    <w:rsid w:val="002E7719"/>
    <w:rsid w:val="002F07C5"/>
    <w:rsid w:val="002F16B9"/>
    <w:rsid w:val="002F1EC0"/>
    <w:rsid w:val="002F2B29"/>
    <w:rsid w:val="002F5CB2"/>
    <w:rsid w:val="002F79F4"/>
    <w:rsid w:val="002F7F11"/>
    <w:rsid w:val="00300023"/>
    <w:rsid w:val="00300BBA"/>
    <w:rsid w:val="003014F1"/>
    <w:rsid w:val="00303294"/>
    <w:rsid w:val="0030348F"/>
    <w:rsid w:val="00304FF2"/>
    <w:rsid w:val="00305296"/>
    <w:rsid w:val="00311CC1"/>
    <w:rsid w:val="003127F9"/>
    <w:rsid w:val="0031343F"/>
    <w:rsid w:val="00314D80"/>
    <w:rsid w:val="00317921"/>
    <w:rsid w:val="00322025"/>
    <w:rsid w:val="003220F7"/>
    <w:rsid w:val="003231DB"/>
    <w:rsid w:val="0032479E"/>
    <w:rsid w:val="00325856"/>
    <w:rsid w:val="003268E6"/>
    <w:rsid w:val="00331075"/>
    <w:rsid w:val="0033118A"/>
    <w:rsid w:val="00331690"/>
    <w:rsid w:val="00340787"/>
    <w:rsid w:val="003435A3"/>
    <w:rsid w:val="00343802"/>
    <w:rsid w:val="00343C2A"/>
    <w:rsid w:val="00345399"/>
    <w:rsid w:val="00346527"/>
    <w:rsid w:val="00352A50"/>
    <w:rsid w:val="0035334B"/>
    <w:rsid w:val="00353E32"/>
    <w:rsid w:val="00355722"/>
    <w:rsid w:val="00355CA4"/>
    <w:rsid w:val="00362D4D"/>
    <w:rsid w:val="0037202D"/>
    <w:rsid w:val="00372C2F"/>
    <w:rsid w:val="003730E1"/>
    <w:rsid w:val="003762FC"/>
    <w:rsid w:val="0037726A"/>
    <w:rsid w:val="00381EB7"/>
    <w:rsid w:val="0038317A"/>
    <w:rsid w:val="003835CC"/>
    <w:rsid w:val="00383F8F"/>
    <w:rsid w:val="00385C7C"/>
    <w:rsid w:val="0039028E"/>
    <w:rsid w:val="0039373B"/>
    <w:rsid w:val="003948A6"/>
    <w:rsid w:val="00396976"/>
    <w:rsid w:val="003A027C"/>
    <w:rsid w:val="003A0A0D"/>
    <w:rsid w:val="003A17E9"/>
    <w:rsid w:val="003A1C0B"/>
    <w:rsid w:val="003A27B5"/>
    <w:rsid w:val="003A312A"/>
    <w:rsid w:val="003A67D5"/>
    <w:rsid w:val="003A729F"/>
    <w:rsid w:val="003A796C"/>
    <w:rsid w:val="003A79ED"/>
    <w:rsid w:val="003A7A06"/>
    <w:rsid w:val="003B0F64"/>
    <w:rsid w:val="003B3EEE"/>
    <w:rsid w:val="003B7A38"/>
    <w:rsid w:val="003C1DEF"/>
    <w:rsid w:val="003C1EE4"/>
    <w:rsid w:val="003C297B"/>
    <w:rsid w:val="003C2C63"/>
    <w:rsid w:val="003C438F"/>
    <w:rsid w:val="003C4C11"/>
    <w:rsid w:val="003C547B"/>
    <w:rsid w:val="003C5B6F"/>
    <w:rsid w:val="003D09BD"/>
    <w:rsid w:val="003D0E2B"/>
    <w:rsid w:val="003D27ED"/>
    <w:rsid w:val="003D535D"/>
    <w:rsid w:val="003D596A"/>
    <w:rsid w:val="003D6A52"/>
    <w:rsid w:val="003D7552"/>
    <w:rsid w:val="003E2BF1"/>
    <w:rsid w:val="003E3FAC"/>
    <w:rsid w:val="003E4429"/>
    <w:rsid w:val="003E5A99"/>
    <w:rsid w:val="003E6762"/>
    <w:rsid w:val="003F0BE4"/>
    <w:rsid w:val="003F1491"/>
    <w:rsid w:val="003F1C77"/>
    <w:rsid w:val="003F4056"/>
    <w:rsid w:val="003F4A96"/>
    <w:rsid w:val="003F588B"/>
    <w:rsid w:val="003F5A3A"/>
    <w:rsid w:val="003F6944"/>
    <w:rsid w:val="003F79DC"/>
    <w:rsid w:val="0040163B"/>
    <w:rsid w:val="00401A1E"/>
    <w:rsid w:val="00401BDF"/>
    <w:rsid w:val="0040298E"/>
    <w:rsid w:val="00402D25"/>
    <w:rsid w:val="00403DE6"/>
    <w:rsid w:val="00407F04"/>
    <w:rsid w:val="00411835"/>
    <w:rsid w:val="00411EF3"/>
    <w:rsid w:val="004136D4"/>
    <w:rsid w:val="00414035"/>
    <w:rsid w:val="0041727F"/>
    <w:rsid w:val="00420FAA"/>
    <w:rsid w:val="0042112C"/>
    <w:rsid w:val="00421EC2"/>
    <w:rsid w:val="00423E43"/>
    <w:rsid w:val="004249BD"/>
    <w:rsid w:val="00425080"/>
    <w:rsid w:val="004258D8"/>
    <w:rsid w:val="00426CDA"/>
    <w:rsid w:val="004336C8"/>
    <w:rsid w:val="00433734"/>
    <w:rsid w:val="00434F44"/>
    <w:rsid w:val="00435663"/>
    <w:rsid w:val="00436641"/>
    <w:rsid w:val="00437DD6"/>
    <w:rsid w:val="004405AE"/>
    <w:rsid w:val="00444C8B"/>
    <w:rsid w:val="00445982"/>
    <w:rsid w:val="004462DD"/>
    <w:rsid w:val="00451340"/>
    <w:rsid w:val="00452980"/>
    <w:rsid w:val="00453D4F"/>
    <w:rsid w:val="004561AF"/>
    <w:rsid w:val="00457A7D"/>
    <w:rsid w:val="0046043A"/>
    <w:rsid w:val="00461662"/>
    <w:rsid w:val="004640AC"/>
    <w:rsid w:val="0046418E"/>
    <w:rsid w:val="00464C6A"/>
    <w:rsid w:val="004668E2"/>
    <w:rsid w:val="00467285"/>
    <w:rsid w:val="0047167F"/>
    <w:rsid w:val="00471693"/>
    <w:rsid w:val="00471EAF"/>
    <w:rsid w:val="00474668"/>
    <w:rsid w:val="00476763"/>
    <w:rsid w:val="00476B90"/>
    <w:rsid w:val="004776A7"/>
    <w:rsid w:val="00481713"/>
    <w:rsid w:val="00481C51"/>
    <w:rsid w:val="00483CFF"/>
    <w:rsid w:val="00485A5F"/>
    <w:rsid w:val="00486B2A"/>
    <w:rsid w:val="00487F21"/>
    <w:rsid w:val="004916A4"/>
    <w:rsid w:val="004977A7"/>
    <w:rsid w:val="004A030F"/>
    <w:rsid w:val="004A3AEE"/>
    <w:rsid w:val="004A43C7"/>
    <w:rsid w:val="004A6C80"/>
    <w:rsid w:val="004A7165"/>
    <w:rsid w:val="004A735B"/>
    <w:rsid w:val="004A74EF"/>
    <w:rsid w:val="004B03CA"/>
    <w:rsid w:val="004B0A8D"/>
    <w:rsid w:val="004B0ADF"/>
    <w:rsid w:val="004B1C5E"/>
    <w:rsid w:val="004B22C1"/>
    <w:rsid w:val="004B2CC1"/>
    <w:rsid w:val="004B5584"/>
    <w:rsid w:val="004B5EEA"/>
    <w:rsid w:val="004C0E8E"/>
    <w:rsid w:val="004C3DB9"/>
    <w:rsid w:val="004C6215"/>
    <w:rsid w:val="004C6631"/>
    <w:rsid w:val="004C6AD9"/>
    <w:rsid w:val="004C7188"/>
    <w:rsid w:val="004C74F0"/>
    <w:rsid w:val="004D3F7D"/>
    <w:rsid w:val="004D6A89"/>
    <w:rsid w:val="004E0827"/>
    <w:rsid w:val="004E12DB"/>
    <w:rsid w:val="004E2AC7"/>
    <w:rsid w:val="004E4EF8"/>
    <w:rsid w:val="004E5C3D"/>
    <w:rsid w:val="004E5C84"/>
    <w:rsid w:val="004E5FDF"/>
    <w:rsid w:val="004F5735"/>
    <w:rsid w:val="004F6998"/>
    <w:rsid w:val="004F6CA8"/>
    <w:rsid w:val="0050017C"/>
    <w:rsid w:val="00501EFD"/>
    <w:rsid w:val="0050273F"/>
    <w:rsid w:val="00503C3F"/>
    <w:rsid w:val="00504937"/>
    <w:rsid w:val="00504FC5"/>
    <w:rsid w:val="00510054"/>
    <w:rsid w:val="0051008E"/>
    <w:rsid w:val="005104C8"/>
    <w:rsid w:val="00510A35"/>
    <w:rsid w:val="0051127D"/>
    <w:rsid w:val="00514F61"/>
    <w:rsid w:val="00515103"/>
    <w:rsid w:val="005160A3"/>
    <w:rsid w:val="005176DB"/>
    <w:rsid w:val="00521245"/>
    <w:rsid w:val="00523048"/>
    <w:rsid w:val="00523F4E"/>
    <w:rsid w:val="00525FA1"/>
    <w:rsid w:val="00527E67"/>
    <w:rsid w:val="00532333"/>
    <w:rsid w:val="00533654"/>
    <w:rsid w:val="00535CAA"/>
    <w:rsid w:val="00536193"/>
    <w:rsid w:val="00536EEF"/>
    <w:rsid w:val="00537536"/>
    <w:rsid w:val="0054164A"/>
    <w:rsid w:val="00541736"/>
    <w:rsid w:val="00541786"/>
    <w:rsid w:val="00541DDB"/>
    <w:rsid w:val="005454B3"/>
    <w:rsid w:val="00546DD9"/>
    <w:rsid w:val="00550B80"/>
    <w:rsid w:val="0055294F"/>
    <w:rsid w:val="00552ACA"/>
    <w:rsid w:val="00554BC7"/>
    <w:rsid w:val="00554E92"/>
    <w:rsid w:val="005552BF"/>
    <w:rsid w:val="00555656"/>
    <w:rsid w:val="00557EBE"/>
    <w:rsid w:val="0056005B"/>
    <w:rsid w:val="00561007"/>
    <w:rsid w:val="00561137"/>
    <w:rsid w:val="00561B0D"/>
    <w:rsid w:val="00561E14"/>
    <w:rsid w:val="005621F0"/>
    <w:rsid w:val="005640E2"/>
    <w:rsid w:val="005663CA"/>
    <w:rsid w:val="00566FC0"/>
    <w:rsid w:val="00567CF8"/>
    <w:rsid w:val="0057379A"/>
    <w:rsid w:val="00574C57"/>
    <w:rsid w:val="00576DFC"/>
    <w:rsid w:val="00576E85"/>
    <w:rsid w:val="00580A18"/>
    <w:rsid w:val="00582453"/>
    <w:rsid w:val="00584795"/>
    <w:rsid w:val="00585E1F"/>
    <w:rsid w:val="00586647"/>
    <w:rsid w:val="00586DD3"/>
    <w:rsid w:val="0058747A"/>
    <w:rsid w:val="0059046B"/>
    <w:rsid w:val="005924F3"/>
    <w:rsid w:val="00593371"/>
    <w:rsid w:val="005937AF"/>
    <w:rsid w:val="00594C3B"/>
    <w:rsid w:val="0059542D"/>
    <w:rsid w:val="00595576"/>
    <w:rsid w:val="00595F4D"/>
    <w:rsid w:val="00597D1D"/>
    <w:rsid w:val="005A0696"/>
    <w:rsid w:val="005A1AAB"/>
    <w:rsid w:val="005A2B96"/>
    <w:rsid w:val="005A2D4F"/>
    <w:rsid w:val="005A4567"/>
    <w:rsid w:val="005A46BF"/>
    <w:rsid w:val="005B1057"/>
    <w:rsid w:val="005B29B8"/>
    <w:rsid w:val="005B325C"/>
    <w:rsid w:val="005B3ACE"/>
    <w:rsid w:val="005B4A52"/>
    <w:rsid w:val="005B7F7F"/>
    <w:rsid w:val="005C1D70"/>
    <w:rsid w:val="005C20D4"/>
    <w:rsid w:val="005C270D"/>
    <w:rsid w:val="005C2C8A"/>
    <w:rsid w:val="005C2EE4"/>
    <w:rsid w:val="005C5BDE"/>
    <w:rsid w:val="005C62A8"/>
    <w:rsid w:val="005C6E3A"/>
    <w:rsid w:val="005C75FC"/>
    <w:rsid w:val="005D1638"/>
    <w:rsid w:val="005D1A45"/>
    <w:rsid w:val="005D2815"/>
    <w:rsid w:val="005D4CBE"/>
    <w:rsid w:val="005D65A6"/>
    <w:rsid w:val="005E124F"/>
    <w:rsid w:val="005E4FA5"/>
    <w:rsid w:val="005E555C"/>
    <w:rsid w:val="005E70C5"/>
    <w:rsid w:val="005F1BF0"/>
    <w:rsid w:val="005F2A8F"/>
    <w:rsid w:val="005F3604"/>
    <w:rsid w:val="005F5466"/>
    <w:rsid w:val="005F6076"/>
    <w:rsid w:val="005F6431"/>
    <w:rsid w:val="005F7CCF"/>
    <w:rsid w:val="00602E16"/>
    <w:rsid w:val="00606134"/>
    <w:rsid w:val="006074D8"/>
    <w:rsid w:val="006128A4"/>
    <w:rsid w:val="006144FA"/>
    <w:rsid w:val="0061454E"/>
    <w:rsid w:val="00616FAF"/>
    <w:rsid w:val="00620AF4"/>
    <w:rsid w:val="00622141"/>
    <w:rsid w:val="00622359"/>
    <w:rsid w:val="00623071"/>
    <w:rsid w:val="00630922"/>
    <w:rsid w:val="006338E9"/>
    <w:rsid w:val="006366A0"/>
    <w:rsid w:val="00636D2B"/>
    <w:rsid w:val="00637581"/>
    <w:rsid w:val="006401E3"/>
    <w:rsid w:val="00640B9F"/>
    <w:rsid w:val="0064183D"/>
    <w:rsid w:val="00641B11"/>
    <w:rsid w:val="00641B69"/>
    <w:rsid w:val="006423FF"/>
    <w:rsid w:val="0064424E"/>
    <w:rsid w:val="00646489"/>
    <w:rsid w:val="0064650A"/>
    <w:rsid w:val="006470C7"/>
    <w:rsid w:val="00651939"/>
    <w:rsid w:val="00651B0E"/>
    <w:rsid w:val="0065238F"/>
    <w:rsid w:val="006535C8"/>
    <w:rsid w:val="006538F7"/>
    <w:rsid w:val="0065425E"/>
    <w:rsid w:val="00656CB6"/>
    <w:rsid w:val="00660074"/>
    <w:rsid w:val="006616B0"/>
    <w:rsid w:val="006635E3"/>
    <w:rsid w:val="006643EF"/>
    <w:rsid w:val="00664988"/>
    <w:rsid w:val="00665ABB"/>
    <w:rsid w:val="00665D68"/>
    <w:rsid w:val="00666FF2"/>
    <w:rsid w:val="00670D46"/>
    <w:rsid w:val="006737B4"/>
    <w:rsid w:val="006749B4"/>
    <w:rsid w:val="00674AF5"/>
    <w:rsid w:val="006752AA"/>
    <w:rsid w:val="00676E6E"/>
    <w:rsid w:val="006804F0"/>
    <w:rsid w:val="00681DA6"/>
    <w:rsid w:val="006820A3"/>
    <w:rsid w:val="00683301"/>
    <w:rsid w:val="0068595A"/>
    <w:rsid w:val="00690464"/>
    <w:rsid w:val="006915B4"/>
    <w:rsid w:val="00691AB3"/>
    <w:rsid w:val="00692783"/>
    <w:rsid w:val="006944EE"/>
    <w:rsid w:val="0069530B"/>
    <w:rsid w:val="0069631F"/>
    <w:rsid w:val="00697668"/>
    <w:rsid w:val="00697AC1"/>
    <w:rsid w:val="00697E2A"/>
    <w:rsid w:val="006A00C8"/>
    <w:rsid w:val="006A425E"/>
    <w:rsid w:val="006A43D1"/>
    <w:rsid w:val="006A6909"/>
    <w:rsid w:val="006B0231"/>
    <w:rsid w:val="006B1745"/>
    <w:rsid w:val="006B3DC2"/>
    <w:rsid w:val="006B78E2"/>
    <w:rsid w:val="006C1445"/>
    <w:rsid w:val="006C208B"/>
    <w:rsid w:val="006C463E"/>
    <w:rsid w:val="006C4C98"/>
    <w:rsid w:val="006C539B"/>
    <w:rsid w:val="006C55D5"/>
    <w:rsid w:val="006C579B"/>
    <w:rsid w:val="006C7478"/>
    <w:rsid w:val="006D13B7"/>
    <w:rsid w:val="006E2D22"/>
    <w:rsid w:val="006E36B5"/>
    <w:rsid w:val="006E6949"/>
    <w:rsid w:val="006E764B"/>
    <w:rsid w:val="006F1067"/>
    <w:rsid w:val="006F2A5E"/>
    <w:rsid w:val="006F3415"/>
    <w:rsid w:val="006F357D"/>
    <w:rsid w:val="006F403D"/>
    <w:rsid w:val="006F40B1"/>
    <w:rsid w:val="006F48FD"/>
    <w:rsid w:val="00700517"/>
    <w:rsid w:val="00700C30"/>
    <w:rsid w:val="00700D75"/>
    <w:rsid w:val="00703EC9"/>
    <w:rsid w:val="00704B97"/>
    <w:rsid w:val="007063C7"/>
    <w:rsid w:val="007073E7"/>
    <w:rsid w:val="00710C98"/>
    <w:rsid w:val="00711668"/>
    <w:rsid w:val="00715270"/>
    <w:rsid w:val="00720171"/>
    <w:rsid w:val="0072079E"/>
    <w:rsid w:val="00722C6E"/>
    <w:rsid w:val="00722C75"/>
    <w:rsid w:val="00724DC6"/>
    <w:rsid w:val="00727CEF"/>
    <w:rsid w:val="00733C0C"/>
    <w:rsid w:val="00733C2D"/>
    <w:rsid w:val="00737093"/>
    <w:rsid w:val="00740729"/>
    <w:rsid w:val="00741A0D"/>
    <w:rsid w:val="007442BC"/>
    <w:rsid w:val="00744D61"/>
    <w:rsid w:val="00745370"/>
    <w:rsid w:val="00746D7E"/>
    <w:rsid w:val="00750D5E"/>
    <w:rsid w:val="00751264"/>
    <w:rsid w:val="007516B5"/>
    <w:rsid w:val="007524D0"/>
    <w:rsid w:val="00752B4A"/>
    <w:rsid w:val="0075322D"/>
    <w:rsid w:val="007560A3"/>
    <w:rsid w:val="007610E9"/>
    <w:rsid w:val="00761634"/>
    <w:rsid w:val="00761B2E"/>
    <w:rsid w:val="0076247F"/>
    <w:rsid w:val="00762C7F"/>
    <w:rsid w:val="00763276"/>
    <w:rsid w:val="007640FB"/>
    <w:rsid w:val="00764874"/>
    <w:rsid w:val="00765643"/>
    <w:rsid w:val="00767B5B"/>
    <w:rsid w:val="00771C67"/>
    <w:rsid w:val="0077322A"/>
    <w:rsid w:val="00777A0C"/>
    <w:rsid w:val="00777E17"/>
    <w:rsid w:val="00780DBF"/>
    <w:rsid w:val="007848F1"/>
    <w:rsid w:val="0078542B"/>
    <w:rsid w:val="00786B29"/>
    <w:rsid w:val="00790095"/>
    <w:rsid w:val="00792FEE"/>
    <w:rsid w:val="00793F36"/>
    <w:rsid w:val="007944DE"/>
    <w:rsid w:val="00795A19"/>
    <w:rsid w:val="0079616F"/>
    <w:rsid w:val="007A1033"/>
    <w:rsid w:val="007A1072"/>
    <w:rsid w:val="007A14BB"/>
    <w:rsid w:val="007A1E85"/>
    <w:rsid w:val="007B054B"/>
    <w:rsid w:val="007B2299"/>
    <w:rsid w:val="007B34D9"/>
    <w:rsid w:val="007B3FC8"/>
    <w:rsid w:val="007B5976"/>
    <w:rsid w:val="007C192B"/>
    <w:rsid w:val="007C1B56"/>
    <w:rsid w:val="007C3457"/>
    <w:rsid w:val="007C38EF"/>
    <w:rsid w:val="007C3C1D"/>
    <w:rsid w:val="007C4C9B"/>
    <w:rsid w:val="007C4D25"/>
    <w:rsid w:val="007C618C"/>
    <w:rsid w:val="007D1ACF"/>
    <w:rsid w:val="007D1EED"/>
    <w:rsid w:val="007D2107"/>
    <w:rsid w:val="007D272C"/>
    <w:rsid w:val="007D2FA0"/>
    <w:rsid w:val="007E2571"/>
    <w:rsid w:val="007E4510"/>
    <w:rsid w:val="007E4864"/>
    <w:rsid w:val="007E4A30"/>
    <w:rsid w:val="007F38F2"/>
    <w:rsid w:val="007F3CA0"/>
    <w:rsid w:val="007F3D57"/>
    <w:rsid w:val="007F5627"/>
    <w:rsid w:val="0080074E"/>
    <w:rsid w:val="008026F9"/>
    <w:rsid w:val="00805AB8"/>
    <w:rsid w:val="00805CB4"/>
    <w:rsid w:val="008076EA"/>
    <w:rsid w:val="0081079C"/>
    <w:rsid w:val="008116EB"/>
    <w:rsid w:val="00811FA0"/>
    <w:rsid w:val="00813345"/>
    <w:rsid w:val="00813A08"/>
    <w:rsid w:val="00813A36"/>
    <w:rsid w:val="008166CE"/>
    <w:rsid w:val="00816F06"/>
    <w:rsid w:val="008175CE"/>
    <w:rsid w:val="0082064B"/>
    <w:rsid w:val="00821980"/>
    <w:rsid w:val="0082351A"/>
    <w:rsid w:val="008256D1"/>
    <w:rsid w:val="00826B63"/>
    <w:rsid w:val="00827195"/>
    <w:rsid w:val="00827BE6"/>
    <w:rsid w:val="008322D2"/>
    <w:rsid w:val="008340D4"/>
    <w:rsid w:val="008377F6"/>
    <w:rsid w:val="008379ED"/>
    <w:rsid w:val="0084548F"/>
    <w:rsid w:val="00846C36"/>
    <w:rsid w:val="008474A3"/>
    <w:rsid w:val="008479AB"/>
    <w:rsid w:val="00847DBE"/>
    <w:rsid w:val="00852B9E"/>
    <w:rsid w:val="0085393F"/>
    <w:rsid w:val="00855D23"/>
    <w:rsid w:val="008562FA"/>
    <w:rsid w:val="00860550"/>
    <w:rsid w:val="00860C58"/>
    <w:rsid w:val="0086190C"/>
    <w:rsid w:val="0086211A"/>
    <w:rsid w:val="00863934"/>
    <w:rsid w:val="00863F00"/>
    <w:rsid w:val="00864A80"/>
    <w:rsid w:val="00866BD1"/>
    <w:rsid w:val="00871658"/>
    <w:rsid w:val="00872DE1"/>
    <w:rsid w:val="0087464F"/>
    <w:rsid w:val="00880FEA"/>
    <w:rsid w:val="00883AE2"/>
    <w:rsid w:val="0088428B"/>
    <w:rsid w:val="0089208C"/>
    <w:rsid w:val="00893ADD"/>
    <w:rsid w:val="008971E2"/>
    <w:rsid w:val="008A07F2"/>
    <w:rsid w:val="008A1C1F"/>
    <w:rsid w:val="008A1F12"/>
    <w:rsid w:val="008A393E"/>
    <w:rsid w:val="008A3DF0"/>
    <w:rsid w:val="008A411B"/>
    <w:rsid w:val="008A68EC"/>
    <w:rsid w:val="008A735B"/>
    <w:rsid w:val="008A7BD3"/>
    <w:rsid w:val="008B04EB"/>
    <w:rsid w:val="008B080F"/>
    <w:rsid w:val="008B7BFF"/>
    <w:rsid w:val="008C0CC1"/>
    <w:rsid w:val="008C20D8"/>
    <w:rsid w:val="008C2876"/>
    <w:rsid w:val="008C34B1"/>
    <w:rsid w:val="008C3583"/>
    <w:rsid w:val="008C554E"/>
    <w:rsid w:val="008D07E1"/>
    <w:rsid w:val="008D2097"/>
    <w:rsid w:val="008E287E"/>
    <w:rsid w:val="008E47F2"/>
    <w:rsid w:val="008E4A58"/>
    <w:rsid w:val="008E54FB"/>
    <w:rsid w:val="008E6051"/>
    <w:rsid w:val="008E760E"/>
    <w:rsid w:val="008F08CB"/>
    <w:rsid w:val="008F0DD1"/>
    <w:rsid w:val="008F296E"/>
    <w:rsid w:val="008F4169"/>
    <w:rsid w:val="008F62C2"/>
    <w:rsid w:val="008F6CC3"/>
    <w:rsid w:val="008F7825"/>
    <w:rsid w:val="00901193"/>
    <w:rsid w:val="0090223B"/>
    <w:rsid w:val="00903A85"/>
    <w:rsid w:val="00906EE2"/>
    <w:rsid w:val="00907541"/>
    <w:rsid w:val="00910D15"/>
    <w:rsid w:val="00911A75"/>
    <w:rsid w:val="00912DFA"/>
    <w:rsid w:val="00913388"/>
    <w:rsid w:val="009154D2"/>
    <w:rsid w:val="009168B1"/>
    <w:rsid w:val="00920818"/>
    <w:rsid w:val="0092187B"/>
    <w:rsid w:val="00923460"/>
    <w:rsid w:val="00926778"/>
    <w:rsid w:val="009317EE"/>
    <w:rsid w:val="00934B0C"/>
    <w:rsid w:val="00935850"/>
    <w:rsid w:val="00943357"/>
    <w:rsid w:val="00946F6C"/>
    <w:rsid w:val="00947DED"/>
    <w:rsid w:val="00953C2E"/>
    <w:rsid w:val="0095430A"/>
    <w:rsid w:val="00955508"/>
    <w:rsid w:val="00955B83"/>
    <w:rsid w:val="009625CF"/>
    <w:rsid w:val="009643F3"/>
    <w:rsid w:val="00964764"/>
    <w:rsid w:val="00965591"/>
    <w:rsid w:val="0096636E"/>
    <w:rsid w:val="009671F3"/>
    <w:rsid w:val="00970279"/>
    <w:rsid w:val="009708E7"/>
    <w:rsid w:val="00970E66"/>
    <w:rsid w:val="00971920"/>
    <w:rsid w:val="00972451"/>
    <w:rsid w:val="00973CF0"/>
    <w:rsid w:val="0097511A"/>
    <w:rsid w:val="00976E74"/>
    <w:rsid w:val="0097711C"/>
    <w:rsid w:val="0097733B"/>
    <w:rsid w:val="0097792A"/>
    <w:rsid w:val="00984E45"/>
    <w:rsid w:val="00986CBE"/>
    <w:rsid w:val="00987034"/>
    <w:rsid w:val="009912CD"/>
    <w:rsid w:val="00992643"/>
    <w:rsid w:val="00993224"/>
    <w:rsid w:val="00993CB7"/>
    <w:rsid w:val="0099420D"/>
    <w:rsid w:val="009946ED"/>
    <w:rsid w:val="009965F3"/>
    <w:rsid w:val="00996753"/>
    <w:rsid w:val="00996FBD"/>
    <w:rsid w:val="009A07C4"/>
    <w:rsid w:val="009A1A67"/>
    <w:rsid w:val="009A2568"/>
    <w:rsid w:val="009A59C0"/>
    <w:rsid w:val="009A6D30"/>
    <w:rsid w:val="009A79D6"/>
    <w:rsid w:val="009B324B"/>
    <w:rsid w:val="009B4084"/>
    <w:rsid w:val="009B5F3E"/>
    <w:rsid w:val="009B6C0E"/>
    <w:rsid w:val="009B73D0"/>
    <w:rsid w:val="009C0C11"/>
    <w:rsid w:val="009C462D"/>
    <w:rsid w:val="009C4C1A"/>
    <w:rsid w:val="009D2044"/>
    <w:rsid w:val="009D2E76"/>
    <w:rsid w:val="009D38FF"/>
    <w:rsid w:val="009D61D9"/>
    <w:rsid w:val="009D67BC"/>
    <w:rsid w:val="009E097A"/>
    <w:rsid w:val="009E0C54"/>
    <w:rsid w:val="009E2463"/>
    <w:rsid w:val="009E2E5E"/>
    <w:rsid w:val="009E4EE0"/>
    <w:rsid w:val="009E61BE"/>
    <w:rsid w:val="009E7C40"/>
    <w:rsid w:val="009F0864"/>
    <w:rsid w:val="009F1A0E"/>
    <w:rsid w:val="009F343D"/>
    <w:rsid w:val="009F44E7"/>
    <w:rsid w:val="009F4D29"/>
    <w:rsid w:val="009F5C93"/>
    <w:rsid w:val="00A00F0D"/>
    <w:rsid w:val="00A045AC"/>
    <w:rsid w:val="00A058DB"/>
    <w:rsid w:val="00A05B45"/>
    <w:rsid w:val="00A064D0"/>
    <w:rsid w:val="00A12833"/>
    <w:rsid w:val="00A16430"/>
    <w:rsid w:val="00A21621"/>
    <w:rsid w:val="00A24052"/>
    <w:rsid w:val="00A2477C"/>
    <w:rsid w:val="00A24BB9"/>
    <w:rsid w:val="00A26FC7"/>
    <w:rsid w:val="00A27AE9"/>
    <w:rsid w:val="00A3141F"/>
    <w:rsid w:val="00A32053"/>
    <w:rsid w:val="00A331BB"/>
    <w:rsid w:val="00A34720"/>
    <w:rsid w:val="00A35FFE"/>
    <w:rsid w:val="00A377B7"/>
    <w:rsid w:val="00A378C7"/>
    <w:rsid w:val="00A431F3"/>
    <w:rsid w:val="00A47CCC"/>
    <w:rsid w:val="00A50F29"/>
    <w:rsid w:val="00A51E69"/>
    <w:rsid w:val="00A53D2B"/>
    <w:rsid w:val="00A55FB0"/>
    <w:rsid w:val="00A60B70"/>
    <w:rsid w:val="00A621CF"/>
    <w:rsid w:val="00A62E58"/>
    <w:rsid w:val="00A652A6"/>
    <w:rsid w:val="00A65309"/>
    <w:rsid w:val="00A67E9D"/>
    <w:rsid w:val="00A70457"/>
    <w:rsid w:val="00A706A7"/>
    <w:rsid w:val="00A73A74"/>
    <w:rsid w:val="00A74278"/>
    <w:rsid w:val="00A74524"/>
    <w:rsid w:val="00A83853"/>
    <w:rsid w:val="00A9134B"/>
    <w:rsid w:val="00A96B07"/>
    <w:rsid w:val="00A97B53"/>
    <w:rsid w:val="00AA160A"/>
    <w:rsid w:val="00AA7966"/>
    <w:rsid w:val="00AA7EEF"/>
    <w:rsid w:val="00AB115E"/>
    <w:rsid w:val="00AB5EBA"/>
    <w:rsid w:val="00AB6284"/>
    <w:rsid w:val="00AB6BC5"/>
    <w:rsid w:val="00AC047B"/>
    <w:rsid w:val="00AC167C"/>
    <w:rsid w:val="00AC3520"/>
    <w:rsid w:val="00AC6525"/>
    <w:rsid w:val="00AC6A6D"/>
    <w:rsid w:val="00AD0AFA"/>
    <w:rsid w:val="00AD0D4D"/>
    <w:rsid w:val="00AD11F4"/>
    <w:rsid w:val="00AD283B"/>
    <w:rsid w:val="00AD2DFD"/>
    <w:rsid w:val="00AD3302"/>
    <w:rsid w:val="00AD38D4"/>
    <w:rsid w:val="00AD46E3"/>
    <w:rsid w:val="00AE2A45"/>
    <w:rsid w:val="00AE2BF9"/>
    <w:rsid w:val="00AE42E2"/>
    <w:rsid w:val="00AE4DFA"/>
    <w:rsid w:val="00AE565D"/>
    <w:rsid w:val="00AE6EE5"/>
    <w:rsid w:val="00AE7526"/>
    <w:rsid w:val="00AE758A"/>
    <w:rsid w:val="00AF005D"/>
    <w:rsid w:val="00AF1EA7"/>
    <w:rsid w:val="00AF2471"/>
    <w:rsid w:val="00AF4683"/>
    <w:rsid w:val="00B00175"/>
    <w:rsid w:val="00B00375"/>
    <w:rsid w:val="00B0334A"/>
    <w:rsid w:val="00B03F7E"/>
    <w:rsid w:val="00B0474F"/>
    <w:rsid w:val="00B04C15"/>
    <w:rsid w:val="00B07982"/>
    <w:rsid w:val="00B14624"/>
    <w:rsid w:val="00B150CC"/>
    <w:rsid w:val="00B15959"/>
    <w:rsid w:val="00B179AD"/>
    <w:rsid w:val="00B17F50"/>
    <w:rsid w:val="00B210EA"/>
    <w:rsid w:val="00B2176B"/>
    <w:rsid w:val="00B2343D"/>
    <w:rsid w:val="00B27019"/>
    <w:rsid w:val="00B27873"/>
    <w:rsid w:val="00B30004"/>
    <w:rsid w:val="00B33317"/>
    <w:rsid w:val="00B3460C"/>
    <w:rsid w:val="00B357B6"/>
    <w:rsid w:val="00B36319"/>
    <w:rsid w:val="00B369CD"/>
    <w:rsid w:val="00B44813"/>
    <w:rsid w:val="00B4544C"/>
    <w:rsid w:val="00B474AC"/>
    <w:rsid w:val="00B5314E"/>
    <w:rsid w:val="00B5372B"/>
    <w:rsid w:val="00B5385F"/>
    <w:rsid w:val="00B54567"/>
    <w:rsid w:val="00B54FAE"/>
    <w:rsid w:val="00B578FD"/>
    <w:rsid w:val="00B6130D"/>
    <w:rsid w:val="00B63131"/>
    <w:rsid w:val="00B63EE5"/>
    <w:rsid w:val="00B644C7"/>
    <w:rsid w:val="00B649F4"/>
    <w:rsid w:val="00B6531B"/>
    <w:rsid w:val="00B6558C"/>
    <w:rsid w:val="00B6706A"/>
    <w:rsid w:val="00B67D7C"/>
    <w:rsid w:val="00B67DCF"/>
    <w:rsid w:val="00B72FCC"/>
    <w:rsid w:val="00B74D68"/>
    <w:rsid w:val="00B769AE"/>
    <w:rsid w:val="00B773B5"/>
    <w:rsid w:val="00B776AD"/>
    <w:rsid w:val="00B80029"/>
    <w:rsid w:val="00B80FDE"/>
    <w:rsid w:val="00B82A17"/>
    <w:rsid w:val="00B838F6"/>
    <w:rsid w:val="00B83A91"/>
    <w:rsid w:val="00B84B89"/>
    <w:rsid w:val="00B903C2"/>
    <w:rsid w:val="00B94F5D"/>
    <w:rsid w:val="00B95E75"/>
    <w:rsid w:val="00B96D80"/>
    <w:rsid w:val="00B97574"/>
    <w:rsid w:val="00BA5286"/>
    <w:rsid w:val="00BA7DAE"/>
    <w:rsid w:val="00BB036B"/>
    <w:rsid w:val="00BB4173"/>
    <w:rsid w:val="00BB50C7"/>
    <w:rsid w:val="00BB6462"/>
    <w:rsid w:val="00BB6C3C"/>
    <w:rsid w:val="00BB6E9A"/>
    <w:rsid w:val="00BB7679"/>
    <w:rsid w:val="00BB7988"/>
    <w:rsid w:val="00BC2A71"/>
    <w:rsid w:val="00BC48E9"/>
    <w:rsid w:val="00BD1F72"/>
    <w:rsid w:val="00BD416D"/>
    <w:rsid w:val="00BD42AF"/>
    <w:rsid w:val="00BD51DA"/>
    <w:rsid w:val="00BE2CD7"/>
    <w:rsid w:val="00BE3503"/>
    <w:rsid w:val="00BE381A"/>
    <w:rsid w:val="00BE532F"/>
    <w:rsid w:val="00BE5986"/>
    <w:rsid w:val="00BE62F6"/>
    <w:rsid w:val="00BE7446"/>
    <w:rsid w:val="00BE7AE8"/>
    <w:rsid w:val="00BF157A"/>
    <w:rsid w:val="00BF2749"/>
    <w:rsid w:val="00BF27D4"/>
    <w:rsid w:val="00BF2E80"/>
    <w:rsid w:val="00BF2E97"/>
    <w:rsid w:val="00BF519E"/>
    <w:rsid w:val="00BF5317"/>
    <w:rsid w:val="00BF7FA1"/>
    <w:rsid w:val="00C02031"/>
    <w:rsid w:val="00C02E85"/>
    <w:rsid w:val="00C03C75"/>
    <w:rsid w:val="00C0486A"/>
    <w:rsid w:val="00C05842"/>
    <w:rsid w:val="00C10D78"/>
    <w:rsid w:val="00C122D9"/>
    <w:rsid w:val="00C12D1D"/>
    <w:rsid w:val="00C1305C"/>
    <w:rsid w:val="00C1522B"/>
    <w:rsid w:val="00C154B1"/>
    <w:rsid w:val="00C15C59"/>
    <w:rsid w:val="00C20704"/>
    <w:rsid w:val="00C21ED4"/>
    <w:rsid w:val="00C225CC"/>
    <w:rsid w:val="00C22EEC"/>
    <w:rsid w:val="00C27AC7"/>
    <w:rsid w:val="00C30119"/>
    <w:rsid w:val="00C30752"/>
    <w:rsid w:val="00C30D5C"/>
    <w:rsid w:val="00C324AD"/>
    <w:rsid w:val="00C3489D"/>
    <w:rsid w:val="00C359A4"/>
    <w:rsid w:val="00C35BE3"/>
    <w:rsid w:val="00C36F28"/>
    <w:rsid w:val="00C376E4"/>
    <w:rsid w:val="00C424A1"/>
    <w:rsid w:val="00C436F7"/>
    <w:rsid w:val="00C4372C"/>
    <w:rsid w:val="00C45D21"/>
    <w:rsid w:val="00C46115"/>
    <w:rsid w:val="00C4651E"/>
    <w:rsid w:val="00C47141"/>
    <w:rsid w:val="00C509A4"/>
    <w:rsid w:val="00C50FA0"/>
    <w:rsid w:val="00C56554"/>
    <w:rsid w:val="00C60C46"/>
    <w:rsid w:val="00C6183A"/>
    <w:rsid w:val="00C6246C"/>
    <w:rsid w:val="00C6427B"/>
    <w:rsid w:val="00C649C2"/>
    <w:rsid w:val="00C65547"/>
    <w:rsid w:val="00C70434"/>
    <w:rsid w:val="00C72698"/>
    <w:rsid w:val="00C74069"/>
    <w:rsid w:val="00C7487B"/>
    <w:rsid w:val="00C767CF"/>
    <w:rsid w:val="00C76DDE"/>
    <w:rsid w:val="00C8103E"/>
    <w:rsid w:val="00C8191A"/>
    <w:rsid w:val="00C82227"/>
    <w:rsid w:val="00C8276E"/>
    <w:rsid w:val="00C85BF7"/>
    <w:rsid w:val="00C90203"/>
    <w:rsid w:val="00C91064"/>
    <w:rsid w:val="00C91248"/>
    <w:rsid w:val="00C919D2"/>
    <w:rsid w:val="00C94AA5"/>
    <w:rsid w:val="00CA0BC4"/>
    <w:rsid w:val="00CA339B"/>
    <w:rsid w:val="00CA39AE"/>
    <w:rsid w:val="00CA3D49"/>
    <w:rsid w:val="00CA40B5"/>
    <w:rsid w:val="00CA45CE"/>
    <w:rsid w:val="00CA5403"/>
    <w:rsid w:val="00CA5868"/>
    <w:rsid w:val="00CA5AA1"/>
    <w:rsid w:val="00CB3B9C"/>
    <w:rsid w:val="00CB3BE4"/>
    <w:rsid w:val="00CB5273"/>
    <w:rsid w:val="00CB53FD"/>
    <w:rsid w:val="00CB771C"/>
    <w:rsid w:val="00CC0B0F"/>
    <w:rsid w:val="00CC6616"/>
    <w:rsid w:val="00CC6B0E"/>
    <w:rsid w:val="00CC7074"/>
    <w:rsid w:val="00CC7148"/>
    <w:rsid w:val="00CD1DA2"/>
    <w:rsid w:val="00CD5095"/>
    <w:rsid w:val="00CD7C87"/>
    <w:rsid w:val="00CE0896"/>
    <w:rsid w:val="00CE0DBE"/>
    <w:rsid w:val="00CE0E6B"/>
    <w:rsid w:val="00CE1B12"/>
    <w:rsid w:val="00CE7481"/>
    <w:rsid w:val="00CE7977"/>
    <w:rsid w:val="00CF00BC"/>
    <w:rsid w:val="00CF148B"/>
    <w:rsid w:val="00CF2C8B"/>
    <w:rsid w:val="00CF4445"/>
    <w:rsid w:val="00CF4FAE"/>
    <w:rsid w:val="00CF6612"/>
    <w:rsid w:val="00CF70C7"/>
    <w:rsid w:val="00D00DCB"/>
    <w:rsid w:val="00D03E6A"/>
    <w:rsid w:val="00D05634"/>
    <w:rsid w:val="00D065E1"/>
    <w:rsid w:val="00D076A2"/>
    <w:rsid w:val="00D104B7"/>
    <w:rsid w:val="00D1115A"/>
    <w:rsid w:val="00D13D31"/>
    <w:rsid w:val="00D1401E"/>
    <w:rsid w:val="00D144C0"/>
    <w:rsid w:val="00D16587"/>
    <w:rsid w:val="00D21337"/>
    <w:rsid w:val="00D223D1"/>
    <w:rsid w:val="00D22A11"/>
    <w:rsid w:val="00D22D35"/>
    <w:rsid w:val="00D23B63"/>
    <w:rsid w:val="00D25644"/>
    <w:rsid w:val="00D25B15"/>
    <w:rsid w:val="00D26DB9"/>
    <w:rsid w:val="00D31089"/>
    <w:rsid w:val="00D3259B"/>
    <w:rsid w:val="00D342F3"/>
    <w:rsid w:val="00D40E3B"/>
    <w:rsid w:val="00D4201B"/>
    <w:rsid w:val="00D425BA"/>
    <w:rsid w:val="00D42EC7"/>
    <w:rsid w:val="00D43380"/>
    <w:rsid w:val="00D45420"/>
    <w:rsid w:val="00D4561D"/>
    <w:rsid w:val="00D46273"/>
    <w:rsid w:val="00D51A0B"/>
    <w:rsid w:val="00D528C4"/>
    <w:rsid w:val="00D5454C"/>
    <w:rsid w:val="00D57285"/>
    <w:rsid w:val="00D5745D"/>
    <w:rsid w:val="00D57568"/>
    <w:rsid w:val="00D63140"/>
    <w:rsid w:val="00D6585E"/>
    <w:rsid w:val="00D73A1E"/>
    <w:rsid w:val="00D82643"/>
    <w:rsid w:val="00D826B0"/>
    <w:rsid w:val="00D8342F"/>
    <w:rsid w:val="00D84F5A"/>
    <w:rsid w:val="00D907B8"/>
    <w:rsid w:val="00D91DCE"/>
    <w:rsid w:val="00D9586A"/>
    <w:rsid w:val="00D959FE"/>
    <w:rsid w:val="00D96E34"/>
    <w:rsid w:val="00DA2789"/>
    <w:rsid w:val="00DA3892"/>
    <w:rsid w:val="00DA473D"/>
    <w:rsid w:val="00DB291A"/>
    <w:rsid w:val="00DC1DF1"/>
    <w:rsid w:val="00DC1EA1"/>
    <w:rsid w:val="00DC2AD3"/>
    <w:rsid w:val="00DC38A3"/>
    <w:rsid w:val="00DD0F2B"/>
    <w:rsid w:val="00DD20F1"/>
    <w:rsid w:val="00DD2F4D"/>
    <w:rsid w:val="00DD3259"/>
    <w:rsid w:val="00DD60D2"/>
    <w:rsid w:val="00DE0BBF"/>
    <w:rsid w:val="00DE0E46"/>
    <w:rsid w:val="00DE1604"/>
    <w:rsid w:val="00DE21D1"/>
    <w:rsid w:val="00DE2BA7"/>
    <w:rsid w:val="00DE3B37"/>
    <w:rsid w:val="00DE46AE"/>
    <w:rsid w:val="00DF0431"/>
    <w:rsid w:val="00DF4854"/>
    <w:rsid w:val="00DF5E15"/>
    <w:rsid w:val="00DF706F"/>
    <w:rsid w:val="00DF747E"/>
    <w:rsid w:val="00E021B8"/>
    <w:rsid w:val="00E028F2"/>
    <w:rsid w:val="00E03629"/>
    <w:rsid w:val="00E05405"/>
    <w:rsid w:val="00E1146A"/>
    <w:rsid w:val="00E13A75"/>
    <w:rsid w:val="00E13EF0"/>
    <w:rsid w:val="00E16B8F"/>
    <w:rsid w:val="00E2168A"/>
    <w:rsid w:val="00E23D0B"/>
    <w:rsid w:val="00E24014"/>
    <w:rsid w:val="00E274F6"/>
    <w:rsid w:val="00E27DC3"/>
    <w:rsid w:val="00E27F1B"/>
    <w:rsid w:val="00E301B8"/>
    <w:rsid w:val="00E31673"/>
    <w:rsid w:val="00E32147"/>
    <w:rsid w:val="00E325ED"/>
    <w:rsid w:val="00E344AB"/>
    <w:rsid w:val="00E34B6A"/>
    <w:rsid w:val="00E37122"/>
    <w:rsid w:val="00E412E1"/>
    <w:rsid w:val="00E417F0"/>
    <w:rsid w:val="00E44503"/>
    <w:rsid w:val="00E44900"/>
    <w:rsid w:val="00E45715"/>
    <w:rsid w:val="00E47089"/>
    <w:rsid w:val="00E558CE"/>
    <w:rsid w:val="00E55E64"/>
    <w:rsid w:val="00E55ECE"/>
    <w:rsid w:val="00E63437"/>
    <w:rsid w:val="00E638F6"/>
    <w:rsid w:val="00E63B64"/>
    <w:rsid w:val="00E647A4"/>
    <w:rsid w:val="00E66080"/>
    <w:rsid w:val="00E71B82"/>
    <w:rsid w:val="00E71EFF"/>
    <w:rsid w:val="00E750B5"/>
    <w:rsid w:val="00E760E2"/>
    <w:rsid w:val="00E776BB"/>
    <w:rsid w:val="00E827FD"/>
    <w:rsid w:val="00E82BC7"/>
    <w:rsid w:val="00E83801"/>
    <w:rsid w:val="00E878D6"/>
    <w:rsid w:val="00E93783"/>
    <w:rsid w:val="00E94954"/>
    <w:rsid w:val="00EA046B"/>
    <w:rsid w:val="00EA0C36"/>
    <w:rsid w:val="00EA1249"/>
    <w:rsid w:val="00EA18D1"/>
    <w:rsid w:val="00EA3F2F"/>
    <w:rsid w:val="00EA4649"/>
    <w:rsid w:val="00EA62D2"/>
    <w:rsid w:val="00EA659F"/>
    <w:rsid w:val="00EA6620"/>
    <w:rsid w:val="00EA6B57"/>
    <w:rsid w:val="00EA781E"/>
    <w:rsid w:val="00EB2F6B"/>
    <w:rsid w:val="00EB3B37"/>
    <w:rsid w:val="00EB5DBC"/>
    <w:rsid w:val="00EB6774"/>
    <w:rsid w:val="00EB777C"/>
    <w:rsid w:val="00EC2B99"/>
    <w:rsid w:val="00EC3812"/>
    <w:rsid w:val="00EC4CE5"/>
    <w:rsid w:val="00EC5044"/>
    <w:rsid w:val="00EC6213"/>
    <w:rsid w:val="00EC69AA"/>
    <w:rsid w:val="00ED1E59"/>
    <w:rsid w:val="00ED3C30"/>
    <w:rsid w:val="00ED5044"/>
    <w:rsid w:val="00ED54A0"/>
    <w:rsid w:val="00ED6954"/>
    <w:rsid w:val="00ED7805"/>
    <w:rsid w:val="00EE0EAC"/>
    <w:rsid w:val="00EE1056"/>
    <w:rsid w:val="00EE1A7B"/>
    <w:rsid w:val="00EE1B76"/>
    <w:rsid w:val="00EE2ACD"/>
    <w:rsid w:val="00EE303D"/>
    <w:rsid w:val="00EE3084"/>
    <w:rsid w:val="00EE3BE2"/>
    <w:rsid w:val="00EE41FB"/>
    <w:rsid w:val="00EE6747"/>
    <w:rsid w:val="00EE6C77"/>
    <w:rsid w:val="00EE7650"/>
    <w:rsid w:val="00EE7A59"/>
    <w:rsid w:val="00EF085F"/>
    <w:rsid w:val="00EF181D"/>
    <w:rsid w:val="00EF25B2"/>
    <w:rsid w:val="00EF3013"/>
    <w:rsid w:val="00EF35AA"/>
    <w:rsid w:val="00EF3841"/>
    <w:rsid w:val="00F05DD5"/>
    <w:rsid w:val="00F063C9"/>
    <w:rsid w:val="00F11508"/>
    <w:rsid w:val="00F138A6"/>
    <w:rsid w:val="00F176A3"/>
    <w:rsid w:val="00F24999"/>
    <w:rsid w:val="00F254F0"/>
    <w:rsid w:val="00F2716B"/>
    <w:rsid w:val="00F274D6"/>
    <w:rsid w:val="00F27D3C"/>
    <w:rsid w:val="00F30A61"/>
    <w:rsid w:val="00F3264F"/>
    <w:rsid w:val="00F328D7"/>
    <w:rsid w:val="00F3407E"/>
    <w:rsid w:val="00F35770"/>
    <w:rsid w:val="00F36027"/>
    <w:rsid w:val="00F37C71"/>
    <w:rsid w:val="00F400EB"/>
    <w:rsid w:val="00F42628"/>
    <w:rsid w:val="00F431FB"/>
    <w:rsid w:val="00F4450B"/>
    <w:rsid w:val="00F445A9"/>
    <w:rsid w:val="00F46C1A"/>
    <w:rsid w:val="00F51667"/>
    <w:rsid w:val="00F5500E"/>
    <w:rsid w:val="00F558E5"/>
    <w:rsid w:val="00F579DA"/>
    <w:rsid w:val="00F579E0"/>
    <w:rsid w:val="00F57DC6"/>
    <w:rsid w:val="00F62470"/>
    <w:rsid w:val="00F634B8"/>
    <w:rsid w:val="00F63FDB"/>
    <w:rsid w:val="00F641F8"/>
    <w:rsid w:val="00F65D9E"/>
    <w:rsid w:val="00F67AD8"/>
    <w:rsid w:val="00F70A08"/>
    <w:rsid w:val="00F70A3A"/>
    <w:rsid w:val="00F71A29"/>
    <w:rsid w:val="00F7218D"/>
    <w:rsid w:val="00F7227E"/>
    <w:rsid w:val="00F77310"/>
    <w:rsid w:val="00F7794F"/>
    <w:rsid w:val="00F80C68"/>
    <w:rsid w:val="00F81141"/>
    <w:rsid w:val="00F81A7C"/>
    <w:rsid w:val="00F84263"/>
    <w:rsid w:val="00F87DBE"/>
    <w:rsid w:val="00F9174A"/>
    <w:rsid w:val="00F91A74"/>
    <w:rsid w:val="00F945CB"/>
    <w:rsid w:val="00F94849"/>
    <w:rsid w:val="00F95EB1"/>
    <w:rsid w:val="00F96411"/>
    <w:rsid w:val="00FA1A29"/>
    <w:rsid w:val="00FA3A13"/>
    <w:rsid w:val="00FA40D0"/>
    <w:rsid w:val="00FA6D7B"/>
    <w:rsid w:val="00FA7582"/>
    <w:rsid w:val="00FB077F"/>
    <w:rsid w:val="00FB1799"/>
    <w:rsid w:val="00FB2425"/>
    <w:rsid w:val="00FB2D16"/>
    <w:rsid w:val="00FB6A1C"/>
    <w:rsid w:val="00FC1CD5"/>
    <w:rsid w:val="00FC208C"/>
    <w:rsid w:val="00FC2D7E"/>
    <w:rsid w:val="00FC4B43"/>
    <w:rsid w:val="00FD070D"/>
    <w:rsid w:val="00FD0EF3"/>
    <w:rsid w:val="00FD0FBC"/>
    <w:rsid w:val="00FD1B7D"/>
    <w:rsid w:val="00FD29AD"/>
    <w:rsid w:val="00FD2D61"/>
    <w:rsid w:val="00FD3A94"/>
    <w:rsid w:val="00FD4403"/>
    <w:rsid w:val="00FD5A08"/>
    <w:rsid w:val="00FD7B03"/>
    <w:rsid w:val="00FD7EE3"/>
    <w:rsid w:val="00FE06B0"/>
    <w:rsid w:val="00FE1257"/>
    <w:rsid w:val="00FE3157"/>
    <w:rsid w:val="00FE3174"/>
    <w:rsid w:val="00FE3FBC"/>
    <w:rsid w:val="00FE5CB8"/>
    <w:rsid w:val="00FE7F0D"/>
    <w:rsid w:val="00FF0B29"/>
    <w:rsid w:val="00FF2094"/>
    <w:rsid w:val="00FF2694"/>
    <w:rsid w:val="00FF2E4D"/>
    <w:rsid w:val="00FF4BFF"/>
    <w:rsid w:val="00FF4EAB"/>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6A6F6"/>
  <w15:chartTrackingRefBased/>
  <w15:docId w15:val="{931138B8-9CAA-41B6-AE68-EF8F451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53C2E"/>
    <w:rPr>
      <w:color w:val="954F72" w:themeColor="followedHyperlink"/>
      <w:u w:val="single"/>
    </w:rPr>
  </w:style>
  <w:style w:type="paragraph" w:styleId="ListParagraph">
    <w:name w:val="List Paragraph"/>
    <w:basedOn w:val="Normal"/>
    <w:uiPriority w:val="34"/>
    <w:qFormat/>
    <w:rsid w:val="00096F2C"/>
    <w:pPr>
      <w:spacing w:after="160" w:line="25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096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7352">
      <w:bodyDiv w:val="1"/>
      <w:marLeft w:val="0"/>
      <w:marRight w:val="0"/>
      <w:marTop w:val="0"/>
      <w:marBottom w:val="0"/>
      <w:divBdr>
        <w:top w:val="none" w:sz="0" w:space="0" w:color="auto"/>
        <w:left w:val="none" w:sz="0" w:space="0" w:color="auto"/>
        <w:bottom w:val="none" w:sz="0" w:space="0" w:color="auto"/>
        <w:right w:val="none" w:sz="0" w:space="0" w:color="auto"/>
      </w:divBdr>
    </w:div>
    <w:div w:id="115216346">
      <w:bodyDiv w:val="1"/>
      <w:marLeft w:val="0"/>
      <w:marRight w:val="0"/>
      <w:marTop w:val="0"/>
      <w:marBottom w:val="0"/>
      <w:divBdr>
        <w:top w:val="none" w:sz="0" w:space="0" w:color="auto"/>
        <w:left w:val="none" w:sz="0" w:space="0" w:color="auto"/>
        <w:bottom w:val="none" w:sz="0" w:space="0" w:color="auto"/>
        <w:right w:val="none" w:sz="0" w:space="0" w:color="auto"/>
      </w:divBdr>
    </w:div>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459348085">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36770743">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620453337">
      <w:bodyDiv w:val="1"/>
      <w:marLeft w:val="0"/>
      <w:marRight w:val="0"/>
      <w:marTop w:val="0"/>
      <w:marBottom w:val="0"/>
      <w:divBdr>
        <w:top w:val="none" w:sz="0" w:space="0" w:color="auto"/>
        <w:left w:val="none" w:sz="0" w:space="0" w:color="auto"/>
        <w:bottom w:val="none" w:sz="0" w:space="0" w:color="auto"/>
        <w:right w:val="none" w:sz="0" w:space="0" w:color="auto"/>
      </w:divBdr>
    </w:div>
    <w:div w:id="621880424">
      <w:bodyDiv w:val="1"/>
      <w:marLeft w:val="0"/>
      <w:marRight w:val="0"/>
      <w:marTop w:val="0"/>
      <w:marBottom w:val="0"/>
      <w:divBdr>
        <w:top w:val="none" w:sz="0" w:space="0" w:color="auto"/>
        <w:left w:val="none" w:sz="0" w:space="0" w:color="auto"/>
        <w:bottom w:val="none" w:sz="0" w:space="0" w:color="auto"/>
        <w:right w:val="none" w:sz="0" w:space="0" w:color="auto"/>
      </w:divBdr>
    </w:div>
    <w:div w:id="637416780">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62799379">
      <w:bodyDiv w:val="1"/>
      <w:marLeft w:val="0"/>
      <w:marRight w:val="0"/>
      <w:marTop w:val="0"/>
      <w:marBottom w:val="0"/>
      <w:divBdr>
        <w:top w:val="none" w:sz="0" w:space="0" w:color="auto"/>
        <w:left w:val="none" w:sz="0" w:space="0" w:color="auto"/>
        <w:bottom w:val="none" w:sz="0" w:space="0" w:color="auto"/>
        <w:right w:val="none" w:sz="0" w:space="0" w:color="auto"/>
      </w:divBdr>
    </w:div>
    <w:div w:id="763494429">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789591939">
      <w:bodyDiv w:val="1"/>
      <w:marLeft w:val="0"/>
      <w:marRight w:val="0"/>
      <w:marTop w:val="0"/>
      <w:marBottom w:val="0"/>
      <w:divBdr>
        <w:top w:val="none" w:sz="0" w:space="0" w:color="auto"/>
        <w:left w:val="none" w:sz="0" w:space="0" w:color="auto"/>
        <w:bottom w:val="none" w:sz="0" w:space="0" w:color="auto"/>
        <w:right w:val="none" w:sz="0" w:space="0" w:color="auto"/>
      </w:divBdr>
    </w:div>
    <w:div w:id="795180530">
      <w:bodyDiv w:val="1"/>
      <w:marLeft w:val="0"/>
      <w:marRight w:val="0"/>
      <w:marTop w:val="0"/>
      <w:marBottom w:val="0"/>
      <w:divBdr>
        <w:top w:val="none" w:sz="0" w:space="0" w:color="auto"/>
        <w:left w:val="none" w:sz="0" w:space="0" w:color="auto"/>
        <w:bottom w:val="none" w:sz="0" w:space="0" w:color="auto"/>
        <w:right w:val="none" w:sz="0" w:space="0" w:color="auto"/>
      </w:divBdr>
    </w:div>
    <w:div w:id="838886200">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20870403">
      <w:bodyDiv w:val="1"/>
      <w:marLeft w:val="0"/>
      <w:marRight w:val="0"/>
      <w:marTop w:val="0"/>
      <w:marBottom w:val="0"/>
      <w:divBdr>
        <w:top w:val="none" w:sz="0" w:space="0" w:color="auto"/>
        <w:left w:val="none" w:sz="0" w:space="0" w:color="auto"/>
        <w:bottom w:val="none" w:sz="0" w:space="0" w:color="auto"/>
        <w:right w:val="none" w:sz="0" w:space="0" w:color="auto"/>
      </w:divBdr>
    </w:div>
    <w:div w:id="930167259">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74876373">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12820548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46979265">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10692251">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52705996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1844292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689941991">
      <w:bodyDiv w:val="1"/>
      <w:marLeft w:val="0"/>
      <w:marRight w:val="0"/>
      <w:marTop w:val="0"/>
      <w:marBottom w:val="0"/>
      <w:divBdr>
        <w:top w:val="none" w:sz="0" w:space="0" w:color="auto"/>
        <w:left w:val="none" w:sz="0" w:space="0" w:color="auto"/>
        <w:bottom w:val="none" w:sz="0" w:space="0" w:color="auto"/>
        <w:right w:val="none" w:sz="0" w:space="0" w:color="auto"/>
      </w:divBdr>
    </w:div>
    <w:div w:id="1718433249">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788625434">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939169844">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1971550998">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070834524">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wealthmanage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wealthmanage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nasdaq.com/articles/february-2022-review-and-outlook" TargetMode="External"/><Relationship Id="rId1" Type="http://schemas.openxmlformats.org/officeDocument/2006/relationships/hyperlink" Target="https://www.bloomberg.com/news/articles/2022-02-24/oil-advances-as-traders-mull-russia-sanctions-wti-brent-sprea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February 28</a:t>
            </a:r>
            <a:r>
              <a:rPr lang="en-US" sz="1000" b="1" baseline="0"/>
              <a:t>,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E6D63E52-1EDE-4513-9710-2ADB800FBA8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231-44B3-BF12-AC0CF34476A8}"/>
                </c:ext>
              </c:extLst>
            </c:dLbl>
            <c:dLbl>
              <c:idx val="1"/>
              <c:tx>
                <c:rich>
                  <a:bodyPr/>
                  <a:lstStyle/>
                  <a:p>
                    <a:fld id="{8E818BC0-9AD8-4409-B1E1-5C78F58F2DF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Feb-22</c:v>
                </c:pt>
                <c:pt idx="1">
                  <c:v>Year to Date</c:v>
                </c:pt>
              </c:strCache>
            </c:strRef>
          </c:cat>
          <c:val>
            <c:numRef>
              <c:f>Sheet1!$B$2:$B$3</c:f>
              <c:numCache>
                <c:formatCode>0.0</c:formatCode>
                <c:ptCount val="2"/>
                <c:pt idx="0">
                  <c:v>-3</c:v>
                </c:pt>
                <c:pt idx="1">
                  <c:v>-8</c:v>
                </c:pt>
              </c:numCache>
            </c:numRef>
          </c:val>
          <c:extLst>
            <c:ext xmlns:c16="http://schemas.microsoft.com/office/drawing/2014/chart" uri="{C3380CC4-5D6E-409C-BE32-E72D297353CC}">
              <c16:uniqueId val="{00000002-8231-44B3-BF12-AC0CF34476A8}"/>
            </c:ext>
          </c:extLst>
        </c:ser>
        <c:ser>
          <c:idx val="1"/>
          <c:order val="1"/>
          <c:tx>
            <c:strRef>
              <c:f>Sheet1!$C$1</c:f>
              <c:strCache>
                <c:ptCount val="1"/>
                <c:pt idx="0">
                  <c:v>Int'l Equities</c:v>
                </c:pt>
              </c:strCache>
            </c:strRef>
          </c:tx>
          <c:spPr>
            <a:solidFill>
              <a:schemeClr val="accent6">
                <a:lumMod val="75000"/>
              </a:schemeClr>
            </a:solidFill>
            <a:ln>
              <a:noFill/>
            </a:ln>
            <a:effectLst/>
          </c:spPr>
          <c:invertIfNegative val="0"/>
          <c:dLbls>
            <c:dLbl>
              <c:idx val="0"/>
              <c:tx>
                <c:rich>
                  <a:bodyPr/>
                  <a:lstStyle/>
                  <a:p>
                    <a:fld id="{D5895DF3-EDD8-438A-A831-DC57E27B835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231-44B3-BF12-AC0CF34476A8}"/>
                </c:ext>
              </c:extLst>
            </c:dLbl>
            <c:dLbl>
              <c:idx val="1"/>
              <c:tx>
                <c:rich>
                  <a:bodyPr/>
                  <a:lstStyle/>
                  <a:p>
                    <a:fld id="{D7BDB681-2473-41B8-A08D-D7C2E550C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231-44B3-BF12-AC0CF34476A8}"/>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Feb-22</c:v>
                </c:pt>
                <c:pt idx="1">
                  <c:v>Year to Date</c:v>
                </c:pt>
              </c:strCache>
            </c:strRef>
          </c:cat>
          <c:val>
            <c:numRef>
              <c:f>Sheet1!$C$2:$C$3</c:f>
              <c:numCache>
                <c:formatCode>0.0</c:formatCode>
                <c:ptCount val="2"/>
                <c:pt idx="0" formatCode="General">
                  <c:v>-1.8</c:v>
                </c:pt>
                <c:pt idx="1">
                  <c:v>-6.5</c:v>
                </c:pt>
              </c:numCache>
            </c:numRef>
          </c:val>
          <c:extLst>
            <c:ext xmlns:c16="http://schemas.microsoft.com/office/drawing/2014/chart" uri="{C3380CC4-5D6E-409C-BE32-E72D297353CC}">
              <c16:uniqueId val="{00000005-8231-44B3-BF12-AC0CF34476A8}"/>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8757BB78-4493-4BA9-AB17-83A9602B7EC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231-44B3-BF12-AC0CF34476A8}"/>
                </c:ext>
              </c:extLst>
            </c:dLbl>
            <c:dLbl>
              <c:idx val="1"/>
              <c:tx>
                <c:rich>
                  <a:bodyPr/>
                  <a:lstStyle/>
                  <a:p>
                    <a:fld id="{86A5AC39-FBFD-458F-9B8F-134C61094A9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Feb-22</c:v>
                </c:pt>
                <c:pt idx="1">
                  <c:v>Year to Date</c:v>
                </c:pt>
              </c:strCache>
            </c:strRef>
          </c:cat>
          <c:val>
            <c:numRef>
              <c:f>Sheet1!$D$2:$D$3</c:f>
              <c:numCache>
                <c:formatCode>0.0</c:formatCode>
                <c:ptCount val="2"/>
                <c:pt idx="0" formatCode="#,##0.0">
                  <c:v>-3</c:v>
                </c:pt>
                <c:pt idx="1">
                  <c:v>-4.8</c:v>
                </c:pt>
              </c:numCache>
            </c:numRef>
          </c:val>
          <c:extLst>
            <c:ext xmlns:c16="http://schemas.microsoft.com/office/drawing/2014/chart" uri="{C3380CC4-5D6E-409C-BE32-E72D297353CC}">
              <c16:uniqueId val="{00000008-8231-44B3-BF12-AC0CF34476A8}"/>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7A05F3C6-9F03-47B3-A46D-056F73639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231-44B3-BF12-AC0CF34476A8}"/>
                </c:ext>
              </c:extLst>
            </c:dLbl>
            <c:dLbl>
              <c:idx val="1"/>
              <c:tx>
                <c:rich>
                  <a:bodyPr/>
                  <a:lstStyle/>
                  <a:p>
                    <a:fld id="{0CEE1A28-6841-4944-8E05-E6338B4E0E3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Feb-22</c:v>
                </c:pt>
                <c:pt idx="1">
                  <c:v>Year to Date</c:v>
                </c:pt>
              </c:strCache>
            </c:strRef>
          </c:cat>
          <c:val>
            <c:numRef>
              <c:f>Sheet1!$E$2:$E$3</c:f>
              <c:numCache>
                <c:formatCode>0.0</c:formatCode>
                <c:ptCount val="2"/>
                <c:pt idx="0">
                  <c:v>-1.1000000000000001</c:v>
                </c:pt>
                <c:pt idx="1">
                  <c:v>-3.2</c:v>
                </c:pt>
              </c:numCache>
            </c:numRef>
          </c:val>
          <c:extLst>
            <c:ext xmlns:c16="http://schemas.microsoft.com/office/drawing/2014/chart" uri="{C3380CC4-5D6E-409C-BE32-E72D297353CC}">
              <c16:uniqueId val="{0000000B-8231-44B3-BF12-AC0CF34476A8}"/>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9370B3AD-65F3-4F2B-A027-BC5EE213ED2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8231-44B3-BF12-AC0CF34476A8}"/>
                </c:ext>
              </c:extLst>
            </c:dLbl>
            <c:dLbl>
              <c:idx val="1"/>
              <c:tx>
                <c:rich>
                  <a:bodyPr/>
                  <a:lstStyle/>
                  <a:p>
                    <a:fld id="{0ED10897-47EB-48A6-902D-31687169BE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231-44B3-BF12-AC0CF34476A8}"/>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Feb-22</c:v>
                </c:pt>
                <c:pt idx="1">
                  <c:v>Year to Date</c:v>
                </c:pt>
              </c:strCache>
            </c:strRef>
          </c:cat>
          <c:val>
            <c:numRef>
              <c:f>Sheet1!$F$2:$F$3</c:f>
              <c:numCache>
                <c:formatCode>0.0</c:formatCode>
                <c:ptCount val="2"/>
                <c:pt idx="0">
                  <c:v>-1.1000000000000001</c:v>
                </c:pt>
                <c:pt idx="1">
                  <c:v>-3</c:v>
                </c:pt>
              </c:numCache>
            </c:numRef>
          </c:val>
          <c:extLst>
            <c:ext xmlns:c16="http://schemas.microsoft.com/office/drawing/2014/chart" uri="{C3380CC4-5D6E-409C-BE32-E72D297353CC}">
              <c16:uniqueId val="{0000000E-8231-44B3-BF12-AC0CF34476A8}"/>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4CB15D1E-AFB6-4EF0-8000-5360582AF19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231-44B3-BF12-AC0CF34476A8}"/>
                </c:ext>
              </c:extLst>
            </c:dLbl>
            <c:dLbl>
              <c:idx val="1"/>
              <c:tx>
                <c:rich>
                  <a:bodyPr/>
                  <a:lstStyle/>
                  <a:p>
                    <a:fld id="{D7CF3EFC-4827-418B-B375-6A5CBCABC3B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Feb-22</c:v>
                </c:pt>
                <c:pt idx="1">
                  <c:v>Year to Date</c:v>
                </c:pt>
              </c:strCache>
            </c:strRef>
          </c:cat>
          <c:val>
            <c:numRef>
              <c:f>Sheet1!$G$2:$G$3</c:f>
              <c:numCache>
                <c:formatCode>0.0</c:formatCode>
                <c:ptCount val="2"/>
                <c:pt idx="0">
                  <c:v>-4.5</c:v>
                </c:pt>
                <c:pt idx="1">
                  <c:v>-7.1</c:v>
                </c:pt>
              </c:numCache>
            </c:numRef>
          </c:val>
          <c:extLst>
            <c:ext xmlns:c16="http://schemas.microsoft.com/office/drawing/2014/chart" uri="{C3380CC4-5D6E-409C-BE32-E72D297353CC}">
              <c16:uniqueId val="{00000011-8231-44B3-BF12-AC0CF34476A8}"/>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February 28, 2022</a:t>
            </a:r>
          </a:p>
        </c:rich>
      </c:tx>
      <c:layout>
        <c:manualLayout>
          <c:xMode val="edge"/>
          <c:yMode val="edge"/>
          <c:x val="0.3183147216210116"/>
          <c:y val="1.8322336573599941E-3"/>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0731424170629597E-2"/>
          <c:y val="0.21267714669994606"/>
          <c:w val="0.94335526777533907"/>
          <c:h val="0.51924181119151147"/>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dLbl>
              <c:idx val="0"/>
              <c:tx>
                <c:rich>
                  <a:bodyPr/>
                  <a:lstStyle/>
                  <a:p>
                    <a:fld id="{BF59C2CE-4A3A-4BF9-8254-32B3ABB2849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172-44F7-9E5E-9909EE094D4A}"/>
                </c:ext>
              </c:extLst>
            </c:dLbl>
            <c:dLbl>
              <c:idx val="1"/>
              <c:tx>
                <c:rich>
                  <a:bodyPr/>
                  <a:lstStyle/>
                  <a:p>
                    <a:fld id="{1DEAEE47-CFA9-4B18-A1E0-DB820867AF6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Feb-22</c:v>
                </c:pt>
                <c:pt idx="1">
                  <c:v>Year to Date</c:v>
                </c:pt>
              </c:strCache>
            </c:strRef>
          </c:cat>
          <c:val>
            <c:numRef>
              <c:f>Sheet1!$B$2:$B$3</c:f>
              <c:numCache>
                <c:formatCode>0.0</c:formatCode>
                <c:ptCount val="2"/>
                <c:pt idx="0">
                  <c:v>-2.04</c:v>
                </c:pt>
                <c:pt idx="1">
                  <c:v>-5.66</c:v>
                </c:pt>
              </c:numCache>
            </c:numRef>
          </c:val>
          <c:extLst>
            <c:ext xmlns:c16="http://schemas.microsoft.com/office/drawing/2014/chart" uri="{C3380CC4-5D6E-409C-BE32-E72D297353CC}">
              <c16:uniqueId val="{00000002-7172-44F7-9E5E-9909EE094D4A}"/>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dLbl>
              <c:idx val="0"/>
              <c:tx>
                <c:rich>
                  <a:bodyPr/>
                  <a:lstStyle/>
                  <a:p>
                    <a:fld id="{D39F284E-AA1D-442E-A171-393864CA2DB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172-44F7-9E5E-9909EE094D4A}"/>
                </c:ext>
              </c:extLst>
            </c:dLbl>
            <c:dLbl>
              <c:idx val="1"/>
              <c:tx>
                <c:rich>
                  <a:bodyPr/>
                  <a:lstStyle/>
                  <a:p>
                    <a:fld id="{BEFF0068-B178-4F4B-8BBC-EEB5BBA6DA7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Feb-22</c:v>
                </c:pt>
                <c:pt idx="1">
                  <c:v>Year to Date</c:v>
                </c:pt>
              </c:strCache>
            </c:strRef>
          </c:cat>
          <c:val>
            <c:numRef>
              <c:f>Sheet1!$C$2:$C$3</c:f>
              <c:numCache>
                <c:formatCode>0.0</c:formatCode>
                <c:ptCount val="2"/>
                <c:pt idx="0">
                  <c:v>-2.6</c:v>
                </c:pt>
                <c:pt idx="1">
                  <c:v>-7.3</c:v>
                </c:pt>
              </c:numCache>
            </c:numRef>
          </c:val>
          <c:extLst>
            <c:ext xmlns:c16="http://schemas.microsoft.com/office/drawing/2014/chart" uri="{C3380CC4-5D6E-409C-BE32-E72D297353CC}">
              <c16:uniqueId val="{00000005-7172-44F7-9E5E-9909EE094D4A}"/>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dLbl>
              <c:idx val="0"/>
              <c:tx>
                <c:rich>
                  <a:bodyPr/>
                  <a:lstStyle/>
                  <a:p>
                    <a:fld id="{189CD266-3744-466C-A968-AA74D3FD97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172-44F7-9E5E-9909EE094D4A}"/>
                </c:ext>
              </c:extLst>
            </c:dLbl>
            <c:dLbl>
              <c:idx val="1"/>
              <c:tx>
                <c:rich>
                  <a:bodyPr/>
                  <a:lstStyle/>
                  <a:p>
                    <a:fld id="{C1C3848E-4123-4DB5-B9ED-1D8BD656E61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Feb-22</c:v>
                </c:pt>
                <c:pt idx="1">
                  <c:v>Year to Date</c:v>
                </c:pt>
              </c:strCache>
            </c:strRef>
          </c:cat>
          <c:val>
            <c:numRef>
              <c:f>Sheet1!$D$2:$D$3</c:f>
              <c:numCache>
                <c:formatCode>0.0</c:formatCode>
                <c:ptCount val="2"/>
                <c:pt idx="0">
                  <c:v>-1.2</c:v>
                </c:pt>
                <c:pt idx="1">
                  <c:v>-3.2</c:v>
                </c:pt>
              </c:numCache>
            </c:numRef>
          </c:val>
          <c:extLst>
            <c:ext xmlns:c16="http://schemas.microsoft.com/office/drawing/2014/chart" uri="{C3380CC4-5D6E-409C-BE32-E72D297353CC}">
              <c16:uniqueId val="{00000008-7172-44F7-9E5E-9909EE094D4A}"/>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dLbl>
              <c:idx val="0"/>
              <c:tx>
                <c:rich>
                  <a:bodyPr/>
                  <a:lstStyle/>
                  <a:p>
                    <a:fld id="{41880CD7-9990-49BF-90A1-76F26B76DC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172-44F7-9E5E-9909EE094D4A}"/>
                </c:ext>
              </c:extLst>
            </c:dLbl>
            <c:dLbl>
              <c:idx val="1"/>
              <c:tx>
                <c:rich>
                  <a:bodyPr/>
                  <a:lstStyle/>
                  <a:p>
                    <a:fld id="{E22C80B0-EF8C-46A4-BEF0-389A75DDF8C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Feb-22</c:v>
                </c:pt>
                <c:pt idx="1">
                  <c:v>Year to Date</c:v>
                </c:pt>
              </c:strCache>
            </c:strRef>
          </c:cat>
          <c:val>
            <c:numRef>
              <c:f>Sheet1!$E$2:$E$3</c:f>
              <c:numCache>
                <c:formatCode>0.0</c:formatCode>
                <c:ptCount val="2"/>
                <c:pt idx="0">
                  <c:v>-3.9</c:v>
                </c:pt>
                <c:pt idx="1">
                  <c:v>-11.5</c:v>
                </c:pt>
              </c:numCache>
            </c:numRef>
          </c:val>
          <c:extLst>
            <c:ext xmlns:c16="http://schemas.microsoft.com/office/drawing/2014/chart" uri="{C3380CC4-5D6E-409C-BE32-E72D297353CC}">
              <c16:uniqueId val="{0000000B-7172-44F7-9E5E-9909EE094D4A}"/>
            </c:ext>
          </c:extLst>
        </c:ser>
        <c:ser>
          <c:idx val="4"/>
          <c:order val="4"/>
          <c:tx>
            <c:strRef>
              <c:f>Sheet1!$F$1</c:f>
              <c:strCache>
                <c:ptCount val="1"/>
                <c:pt idx="0">
                  <c:v>Commodities</c:v>
                </c:pt>
              </c:strCache>
            </c:strRef>
          </c:tx>
          <c:spPr>
            <a:solidFill>
              <a:schemeClr val="accent3"/>
            </a:solidFill>
            <a:ln>
              <a:noFill/>
            </a:ln>
            <a:effectLst/>
          </c:spPr>
          <c:invertIfNegative val="0"/>
          <c:dLbls>
            <c:dLbl>
              <c:idx val="0"/>
              <c:tx>
                <c:rich>
                  <a:bodyPr/>
                  <a:lstStyle/>
                  <a:p>
                    <a:fld id="{1F3FB801-7F7F-45DC-86DE-9EA7D8573C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7172-44F7-9E5E-9909EE094D4A}"/>
                </c:ext>
              </c:extLst>
            </c:dLbl>
            <c:dLbl>
              <c:idx val="1"/>
              <c:tx>
                <c:rich>
                  <a:bodyPr/>
                  <a:lstStyle/>
                  <a:p>
                    <a:fld id="{413E31C4-83ED-4E67-87D0-FEFFD8EC5F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Feb-22</c:v>
                </c:pt>
                <c:pt idx="1">
                  <c:v>Year to Date</c:v>
                </c:pt>
              </c:strCache>
            </c:strRef>
          </c:cat>
          <c:val>
            <c:numRef>
              <c:f>Sheet1!$F$2:$F$3</c:f>
              <c:numCache>
                <c:formatCode>0.0</c:formatCode>
                <c:ptCount val="2"/>
                <c:pt idx="0">
                  <c:v>6.2</c:v>
                </c:pt>
                <c:pt idx="1">
                  <c:v>15.6</c:v>
                </c:pt>
              </c:numCache>
            </c:numRef>
          </c:val>
          <c:extLst>
            <c:ext xmlns:c16="http://schemas.microsoft.com/office/drawing/2014/chart" uri="{C3380CC4-5D6E-409C-BE32-E72D297353CC}">
              <c16:uniqueId val="{0000000E-7172-44F7-9E5E-9909EE094D4A}"/>
            </c:ext>
          </c:extLst>
        </c:ser>
        <c:ser>
          <c:idx val="5"/>
          <c:order val="5"/>
          <c:tx>
            <c:strRef>
              <c:f>Sheet1!$G$1</c:f>
              <c:strCache>
                <c:ptCount val="1"/>
                <c:pt idx="0">
                  <c:v>Gold</c:v>
                </c:pt>
              </c:strCache>
            </c:strRef>
          </c:tx>
          <c:spPr>
            <a:solidFill>
              <a:schemeClr val="accent4"/>
            </a:solidFill>
            <a:ln>
              <a:noFill/>
            </a:ln>
            <a:effectLst/>
          </c:spPr>
          <c:invertIfNegative val="0"/>
          <c:dLbls>
            <c:dLbl>
              <c:idx val="0"/>
              <c:tx>
                <c:rich>
                  <a:bodyPr/>
                  <a:lstStyle/>
                  <a:p>
                    <a:fld id="{0A64BB21-D464-46F0-93B7-3E20E9CC7C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172-44F7-9E5E-9909EE094D4A}"/>
                </c:ext>
              </c:extLst>
            </c:dLbl>
            <c:dLbl>
              <c:idx val="1"/>
              <c:tx>
                <c:rich>
                  <a:bodyPr/>
                  <a:lstStyle/>
                  <a:p>
                    <a:fld id="{F2195A43-361B-48DB-A0F2-5DEE857FA7A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Feb-22</c:v>
                </c:pt>
                <c:pt idx="1">
                  <c:v>Year to Date</c:v>
                </c:pt>
              </c:strCache>
            </c:strRef>
          </c:cat>
          <c:val>
            <c:numRef>
              <c:f>Sheet1!$G$2:$G$3</c:f>
              <c:numCache>
                <c:formatCode>0.0</c:formatCode>
                <c:ptCount val="2"/>
                <c:pt idx="0">
                  <c:v>5.8</c:v>
                </c:pt>
                <c:pt idx="1">
                  <c:v>3.8</c:v>
                </c:pt>
              </c:numCache>
            </c:numRef>
          </c:val>
          <c:extLst>
            <c:ext xmlns:c16="http://schemas.microsoft.com/office/drawing/2014/chart" uri="{C3380CC4-5D6E-409C-BE32-E72D297353CC}">
              <c16:uniqueId val="{00000011-7172-44F7-9E5E-9909EE094D4A}"/>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tickLblSkip val="1"/>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83FA619D2B349B00D5F0F2CE6B706" ma:contentTypeVersion="11" ma:contentTypeDescription="Create a new document." ma:contentTypeScope="" ma:versionID="192d9a45ff029d484e5ed0a8a098b1e7">
  <xsd:schema xmlns:xsd="http://www.w3.org/2001/XMLSchema" xmlns:xs="http://www.w3.org/2001/XMLSchema" xmlns:p="http://schemas.microsoft.com/office/2006/metadata/properties" xmlns:ns3="0b9e382b-daa0-4834-87ed-27ee55f638e7" xmlns:ns4="4e52db4d-ebf4-459d-8c3d-a29637997161" targetNamespace="http://schemas.microsoft.com/office/2006/metadata/properties" ma:root="true" ma:fieldsID="e81792524a29150d1eacdc5c540b452c" ns3:_="" ns4:_="">
    <xsd:import namespace="0b9e382b-daa0-4834-87ed-27ee55f638e7"/>
    <xsd:import namespace="4e52db4d-ebf4-459d-8c3d-a296379971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382b-daa0-4834-87ed-27ee55f6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2db4d-ebf4-459d-8c3d-a296379971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E9AC-0E0D-47B3-B9F9-DF73420F3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382b-daa0-4834-87ed-27ee55f638e7"/>
    <ds:schemaRef ds:uri="4e52db4d-ebf4-459d-8c3d-a2963799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8546D-53EE-4006-AA2D-987055372E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43FE3-C3B3-4434-BE57-8CB4EF723A02}">
  <ds:schemaRefs>
    <ds:schemaRef ds:uri="http://schemas.microsoft.com/sharepoint/v3/contenttype/forms"/>
  </ds:schemaRefs>
</ds:datastoreItem>
</file>

<file path=customXml/itemProps4.xml><?xml version="1.0" encoding="utf-8"?>
<ds:datastoreItem xmlns:ds="http://schemas.openxmlformats.org/officeDocument/2006/customXml" ds:itemID="{2A60D479-7CB4-4D89-A2B2-E46F9EDC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2019-11-05T19:19:00Z</cp:lastPrinted>
  <dcterms:created xsi:type="dcterms:W3CDTF">2022-03-04T18:57:00Z</dcterms:created>
  <dcterms:modified xsi:type="dcterms:W3CDTF">2022-03-04T18:57:00Z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0x01010037183FA619D2B349B00D5F0F2CE6B706</vt:lpwstr>
  </property>
</Properties>
</file>